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83B176" w14:textId="46928AA8" w:rsidR="00353FAE" w:rsidRDefault="00AA435B" w:rsidP="00353FAE">
      <w:pPr>
        <w:tabs>
          <w:tab w:val="left" w:pos="1985"/>
          <w:tab w:val="left" w:pos="7920"/>
        </w:tabs>
        <w:spacing w:after="0"/>
        <w:jc w:val="both"/>
        <w:rPr>
          <w:rFonts w:ascii="Arial" w:hAnsi="Arial" w:cs="Arial"/>
          <w:b/>
          <w:sz w:val="24"/>
        </w:rPr>
      </w:pPr>
      <w:bookmarkStart w:id="0" w:name="_Hlk6897498"/>
      <w:bookmarkStart w:id="1" w:name="_Hlk3548187"/>
      <w:bookmarkStart w:id="2" w:name="_Toc508617208"/>
      <w:r w:rsidRPr="00AA435B">
        <w:rPr>
          <w:rFonts w:ascii="Arial" w:hAnsi="Arial" w:cs="Arial"/>
          <w:b/>
          <w:sz w:val="24"/>
          <w:lang w:val="en-US"/>
        </w:rPr>
        <w:t>3GPP TSG-RAN5 Meeting #8</w:t>
      </w:r>
      <w:r w:rsidR="00F10D89">
        <w:rPr>
          <w:rFonts w:ascii="Arial" w:hAnsi="Arial" w:cs="Arial"/>
          <w:b/>
          <w:sz w:val="24"/>
          <w:lang w:val="en-US"/>
        </w:rPr>
        <w:t>9</w:t>
      </w:r>
      <w:r w:rsidRPr="00AA435B">
        <w:rPr>
          <w:rFonts w:ascii="Arial" w:hAnsi="Arial" w:cs="Arial"/>
          <w:b/>
          <w:sz w:val="24"/>
          <w:lang w:val="en-US"/>
        </w:rPr>
        <w:t>-e</w:t>
      </w:r>
      <w:r w:rsidR="00353FAE">
        <w:rPr>
          <w:rFonts w:ascii="Arial" w:hAnsi="Arial" w:cs="Arial"/>
          <w:b/>
          <w:sz w:val="24"/>
          <w:lang w:val="en-US"/>
        </w:rPr>
        <w:tab/>
      </w:r>
      <w:r w:rsidR="00353FAE">
        <w:rPr>
          <w:rFonts w:ascii="Arial" w:hAnsi="Arial" w:cs="Arial"/>
          <w:b/>
          <w:sz w:val="24"/>
          <w:lang w:val="en-US"/>
        </w:rPr>
        <w:tab/>
      </w:r>
      <w:r w:rsidR="0010125F" w:rsidRPr="0010125F">
        <w:rPr>
          <w:rFonts w:ascii="Arial" w:hAnsi="Arial" w:cs="Arial"/>
          <w:b/>
          <w:sz w:val="24"/>
          <w:lang w:val="en-US"/>
        </w:rPr>
        <w:t>R5-206068</w:t>
      </w:r>
      <w:r w:rsidR="00353FAE">
        <w:rPr>
          <w:rFonts w:ascii="Arial" w:hAnsi="Arial" w:cs="Arial"/>
          <w:b/>
          <w:sz w:val="24"/>
          <w:lang w:val="en-US"/>
        </w:rPr>
        <w:br/>
      </w:r>
      <w:bookmarkEnd w:id="0"/>
      <w:r w:rsidR="001B28D7" w:rsidRPr="001B28D7">
        <w:rPr>
          <w:rFonts w:ascii="Arial" w:hAnsi="Arial" w:cs="Arial"/>
          <w:b/>
          <w:sz w:val="24"/>
        </w:rPr>
        <w:t xml:space="preserve">Electronic meeting, </w:t>
      </w:r>
      <w:r w:rsidR="00F10D89">
        <w:rPr>
          <w:rFonts w:ascii="Arial" w:hAnsi="Arial" w:cs="Arial"/>
          <w:b/>
          <w:sz w:val="24"/>
        </w:rPr>
        <w:t>9</w:t>
      </w:r>
      <w:r w:rsidR="001B28D7" w:rsidRPr="001B28D7">
        <w:rPr>
          <w:rFonts w:ascii="Arial" w:hAnsi="Arial" w:cs="Arial"/>
          <w:b/>
          <w:sz w:val="24"/>
        </w:rPr>
        <w:t xml:space="preserve"> </w:t>
      </w:r>
      <w:r w:rsidR="00F10D89">
        <w:rPr>
          <w:rFonts w:ascii="Arial" w:hAnsi="Arial" w:cs="Arial"/>
          <w:b/>
          <w:sz w:val="24"/>
        </w:rPr>
        <w:t>November</w:t>
      </w:r>
      <w:r w:rsidR="001B28D7" w:rsidRPr="001B28D7">
        <w:rPr>
          <w:rFonts w:ascii="Arial" w:hAnsi="Arial" w:cs="Arial"/>
          <w:b/>
          <w:sz w:val="24"/>
        </w:rPr>
        <w:t xml:space="preserve"> - 2</w:t>
      </w:r>
      <w:r w:rsidR="00F10D89">
        <w:rPr>
          <w:rFonts w:ascii="Arial" w:hAnsi="Arial" w:cs="Arial"/>
          <w:b/>
          <w:sz w:val="24"/>
        </w:rPr>
        <w:t>0</w:t>
      </w:r>
      <w:r w:rsidR="001B28D7" w:rsidRPr="001B28D7">
        <w:rPr>
          <w:rFonts w:ascii="Arial" w:hAnsi="Arial" w:cs="Arial"/>
          <w:b/>
          <w:sz w:val="24"/>
        </w:rPr>
        <w:t xml:space="preserve"> </w:t>
      </w:r>
      <w:r w:rsidR="00F10D89">
        <w:rPr>
          <w:rFonts w:ascii="Arial" w:hAnsi="Arial" w:cs="Arial"/>
          <w:b/>
          <w:sz w:val="24"/>
        </w:rPr>
        <w:t xml:space="preserve">November </w:t>
      </w:r>
      <w:r w:rsidR="008E7B94">
        <w:rPr>
          <w:rFonts w:ascii="Arial" w:hAnsi="Arial" w:cs="Arial"/>
          <w:b/>
          <w:sz w:val="24"/>
        </w:rPr>
        <w:t>2020</w:t>
      </w:r>
    </w:p>
    <w:p w14:paraId="35952387" w14:textId="77777777" w:rsidR="00816C9D" w:rsidRPr="0008103A" w:rsidRDefault="00816C9D" w:rsidP="00816C9D">
      <w:pPr>
        <w:rPr>
          <w:rFonts w:ascii="Arial" w:hAnsi="Arial" w:cs="Arial"/>
          <w:b/>
          <w:sz w:val="24"/>
          <w:szCs w:val="24"/>
        </w:rPr>
      </w:pPr>
    </w:p>
    <w:p w14:paraId="35952388" w14:textId="3182A132"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Agenda item:</w:t>
      </w:r>
      <w:r w:rsidRPr="0008103A">
        <w:rPr>
          <w:rFonts w:ascii="Arial" w:hAnsi="Arial" w:cs="Arial"/>
          <w:b/>
          <w:sz w:val="24"/>
          <w:szCs w:val="24"/>
        </w:rPr>
        <w:tab/>
      </w:r>
      <w:r w:rsidR="004445E8" w:rsidRPr="004445E8">
        <w:rPr>
          <w:rFonts w:ascii="Arial" w:hAnsi="Arial" w:cs="Arial"/>
          <w:sz w:val="24"/>
          <w:szCs w:val="24"/>
        </w:rPr>
        <w:t>5.3.2.17</w:t>
      </w:r>
    </w:p>
    <w:p w14:paraId="35952389" w14:textId="77777777"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Source:</w:t>
      </w:r>
      <w:r w:rsidRPr="0008103A">
        <w:rPr>
          <w:rFonts w:ascii="Arial" w:hAnsi="Arial" w:cs="Arial"/>
          <w:b/>
          <w:sz w:val="24"/>
          <w:szCs w:val="24"/>
        </w:rPr>
        <w:tab/>
      </w:r>
      <w:r w:rsidR="00347574" w:rsidRPr="00052390">
        <w:rPr>
          <w:rFonts w:ascii="Arial" w:hAnsi="Arial" w:cs="Arial"/>
          <w:sz w:val="24"/>
          <w:szCs w:val="24"/>
        </w:rPr>
        <w:t>Keysight Technologies</w:t>
      </w:r>
    </w:p>
    <w:bookmarkEnd w:id="1"/>
    <w:bookmarkEnd w:id="2"/>
    <w:p w14:paraId="5618F8D1" w14:textId="77777777" w:rsidR="001B2645" w:rsidRPr="0062332A" w:rsidRDefault="001B2645" w:rsidP="001B2645">
      <w:pPr>
        <w:tabs>
          <w:tab w:val="left" w:pos="2250"/>
        </w:tabs>
        <w:ind w:left="2160" w:hanging="2160"/>
        <w:rPr>
          <w:rFonts w:ascii="Arial" w:hAnsi="Arial" w:cs="Arial"/>
          <w:b/>
          <w:sz w:val="24"/>
          <w:szCs w:val="24"/>
        </w:rPr>
      </w:pPr>
      <w:r w:rsidRPr="0062332A">
        <w:rPr>
          <w:rFonts w:ascii="Arial" w:hAnsi="Arial" w:cs="Arial"/>
          <w:b/>
          <w:sz w:val="24"/>
          <w:szCs w:val="24"/>
        </w:rPr>
        <w:t>Title:</w:t>
      </w:r>
      <w:r w:rsidRPr="0062332A">
        <w:rPr>
          <w:rFonts w:ascii="Arial" w:hAnsi="Arial" w:cs="Arial"/>
          <w:b/>
          <w:sz w:val="24"/>
          <w:szCs w:val="24"/>
        </w:rPr>
        <w:tab/>
      </w:r>
      <w:bookmarkStart w:id="3" w:name="_Hlk517280009"/>
      <w:r w:rsidRPr="0062332A">
        <w:rPr>
          <w:rFonts w:ascii="Arial" w:hAnsi="Arial" w:cs="Arial"/>
          <w:sz w:val="24"/>
          <w:szCs w:val="24"/>
        </w:rPr>
        <w:t>On Larger Quiet Zone Sizes</w:t>
      </w:r>
      <w:r w:rsidRPr="0062332A">
        <w:rPr>
          <w:rFonts w:ascii="Arial" w:hAnsi="Arial" w:cs="Arial"/>
          <w:b/>
          <w:sz w:val="24"/>
          <w:szCs w:val="24"/>
        </w:rPr>
        <w:t xml:space="preserve"> </w:t>
      </w:r>
      <w:bookmarkEnd w:id="3"/>
    </w:p>
    <w:p w14:paraId="170E4D82" w14:textId="77777777" w:rsidR="001B2645" w:rsidRPr="0062332A" w:rsidRDefault="001B2645" w:rsidP="001B2645">
      <w:pPr>
        <w:tabs>
          <w:tab w:val="left" w:pos="2160"/>
        </w:tabs>
        <w:rPr>
          <w:rFonts w:ascii="Arial" w:hAnsi="Arial" w:cs="Arial"/>
          <w:b/>
          <w:sz w:val="24"/>
          <w:szCs w:val="24"/>
        </w:rPr>
      </w:pPr>
      <w:r w:rsidRPr="0062332A">
        <w:rPr>
          <w:rFonts w:ascii="Arial" w:hAnsi="Arial" w:cs="Arial"/>
          <w:b/>
          <w:sz w:val="24"/>
          <w:szCs w:val="24"/>
        </w:rPr>
        <w:t>Document for:</w:t>
      </w:r>
      <w:r w:rsidRPr="0062332A">
        <w:rPr>
          <w:rFonts w:ascii="Arial" w:hAnsi="Arial" w:cs="Arial"/>
          <w:b/>
          <w:sz w:val="24"/>
          <w:szCs w:val="24"/>
        </w:rPr>
        <w:tab/>
      </w:r>
      <w:r w:rsidRPr="0062332A">
        <w:rPr>
          <w:rFonts w:ascii="Arial" w:hAnsi="Arial" w:cs="Arial"/>
          <w:sz w:val="24"/>
          <w:szCs w:val="24"/>
        </w:rPr>
        <w:t>Discussion and Endorsement</w:t>
      </w:r>
    </w:p>
    <w:p w14:paraId="1AC03711" w14:textId="77777777" w:rsidR="001B2645" w:rsidRPr="0062332A" w:rsidRDefault="001B2645" w:rsidP="001B2645">
      <w:pPr>
        <w:pStyle w:val="Heading1"/>
        <w:ind w:left="567" w:hanging="567"/>
      </w:pPr>
      <w:r w:rsidRPr="0062332A">
        <w:t>Introduction</w:t>
      </w:r>
    </w:p>
    <w:p w14:paraId="5B0D3B8D" w14:textId="671C8C10" w:rsidR="001B2645" w:rsidRPr="0062332A" w:rsidRDefault="001B2645" w:rsidP="001B2645">
      <w:pPr>
        <w:ind w:left="48"/>
        <w:rPr>
          <w:rFonts w:eastAsia="Batang"/>
        </w:rPr>
      </w:pPr>
      <w:r w:rsidRPr="0062332A">
        <w:rPr>
          <w:rFonts w:eastAsia="Batang"/>
        </w:rPr>
        <w:t xml:space="preserve">This contribution addresses </w:t>
      </w:r>
      <w:r>
        <w:rPr>
          <w:rFonts w:eastAsia="Batang"/>
        </w:rPr>
        <w:t xml:space="preserve">an approach to test devices that cannot be tested in the largest 30cm diameter QZ </w:t>
      </w:r>
      <w:r w:rsidR="00A955B9">
        <w:rPr>
          <w:rFonts w:eastAsia="Batang"/>
        </w:rPr>
        <w:t xml:space="preserve">currently </w:t>
      </w:r>
      <w:r>
        <w:rPr>
          <w:rFonts w:eastAsia="Batang"/>
        </w:rPr>
        <w:t xml:space="preserve">defined in </w:t>
      </w:r>
      <w:r w:rsidR="00B11FA7">
        <w:rPr>
          <w:rFonts w:eastAsia="Batang"/>
        </w:rPr>
        <w:fldChar w:fldCharType="begin"/>
      </w:r>
      <w:r w:rsidR="00B11FA7">
        <w:rPr>
          <w:rFonts w:eastAsia="Batang"/>
        </w:rPr>
        <w:instrText xml:space="preserve"> REF _Ref51771163 \r \h </w:instrText>
      </w:r>
      <w:r w:rsidR="00B11FA7">
        <w:rPr>
          <w:rFonts w:eastAsia="Batang"/>
        </w:rPr>
      </w:r>
      <w:r w:rsidR="00B11FA7">
        <w:rPr>
          <w:rFonts w:eastAsia="Batang"/>
        </w:rPr>
        <w:fldChar w:fldCharType="separate"/>
      </w:r>
      <w:r w:rsidR="00B11FA7">
        <w:rPr>
          <w:rFonts w:eastAsia="Batang"/>
        </w:rPr>
        <w:t>[1]</w:t>
      </w:r>
      <w:r w:rsidR="00B11FA7">
        <w:rPr>
          <w:rFonts w:eastAsia="Batang"/>
        </w:rPr>
        <w:fldChar w:fldCharType="end"/>
      </w:r>
      <w:r w:rsidR="00B11FA7">
        <w:rPr>
          <w:rFonts w:eastAsia="Batang"/>
        </w:rPr>
        <w:fldChar w:fldCharType="begin"/>
      </w:r>
      <w:r w:rsidR="00B11FA7">
        <w:rPr>
          <w:rFonts w:eastAsia="Batang"/>
        </w:rPr>
        <w:instrText xml:space="preserve"> REF _Ref51771165 \r \h </w:instrText>
      </w:r>
      <w:r w:rsidR="00B11FA7">
        <w:rPr>
          <w:rFonts w:eastAsia="Batang"/>
        </w:rPr>
      </w:r>
      <w:r w:rsidR="00B11FA7">
        <w:rPr>
          <w:rFonts w:eastAsia="Batang"/>
        </w:rPr>
        <w:fldChar w:fldCharType="separate"/>
      </w:r>
      <w:r w:rsidR="00B11FA7">
        <w:rPr>
          <w:rFonts w:eastAsia="Batang"/>
        </w:rPr>
        <w:t>[2]</w:t>
      </w:r>
      <w:r w:rsidR="00B11FA7">
        <w:rPr>
          <w:rFonts w:eastAsia="Batang"/>
        </w:rPr>
        <w:fldChar w:fldCharType="end"/>
      </w:r>
      <w:r>
        <w:rPr>
          <w:rFonts w:eastAsia="Batang"/>
        </w:rPr>
        <w:t xml:space="preserve">. </w:t>
      </w:r>
    </w:p>
    <w:p w14:paraId="25B268CA" w14:textId="77777777" w:rsidR="001B2645" w:rsidRPr="0062332A" w:rsidRDefault="001B2645" w:rsidP="001B2645">
      <w:pPr>
        <w:pStyle w:val="Heading1"/>
        <w:ind w:left="567" w:hanging="567"/>
      </w:pPr>
      <w:r w:rsidRPr="0062332A">
        <w:t>Discussion</w:t>
      </w:r>
    </w:p>
    <w:p w14:paraId="486ADBAF" w14:textId="0A715C9D" w:rsidR="001B2645" w:rsidRPr="0062332A" w:rsidRDefault="001B2645" w:rsidP="001B2645">
      <w:r w:rsidRPr="0062332A">
        <w:t xml:space="preserve">In the last few meetings, the topic of larger quiet zone sizes were discussed in </w:t>
      </w:r>
      <w:r w:rsidR="00B11FA7">
        <w:fldChar w:fldCharType="begin"/>
      </w:r>
      <w:r w:rsidR="00B11FA7">
        <w:instrText xml:space="preserve"> REF _Ref51771373 \w \h </w:instrText>
      </w:r>
      <w:r w:rsidR="00B11FA7">
        <w:fldChar w:fldCharType="separate"/>
      </w:r>
      <w:r w:rsidR="00B11FA7">
        <w:t>[3]</w:t>
      </w:r>
      <w:r w:rsidR="00B11FA7">
        <w:fldChar w:fldCharType="end"/>
      </w:r>
      <w:r w:rsidRPr="0062332A">
        <w:fldChar w:fldCharType="begin"/>
      </w:r>
      <w:r w:rsidRPr="0062332A">
        <w:instrText xml:space="preserve"> REF _Ref46830966 \r \h </w:instrText>
      </w:r>
      <w:r w:rsidRPr="0062332A">
        <w:fldChar w:fldCharType="separate"/>
      </w:r>
      <w:r w:rsidR="00B11FA7">
        <w:t>[4]</w:t>
      </w:r>
      <w:r w:rsidRPr="0062332A">
        <w:fldChar w:fldCharType="end"/>
      </w:r>
      <w:r w:rsidR="00B11FA7">
        <w:fldChar w:fldCharType="begin"/>
      </w:r>
      <w:r w:rsidR="00B11FA7">
        <w:instrText xml:space="preserve"> REF _Ref51771382 \w \h </w:instrText>
      </w:r>
      <w:r w:rsidR="00B11FA7">
        <w:fldChar w:fldCharType="separate"/>
      </w:r>
      <w:r w:rsidR="00B11FA7">
        <w:t>[5]</w:t>
      </w:r>
      <w:r w:rsidR="00B11FA7">
        <w:fldChar w:fldCharType="end"/>
      </w:r>
      <w:r w:rsidR="00B11FA7">
        <w:fldChar w:fldCharType="begin"/>
      </w:r>
      <w:r w:rsidR="00B11FA7">
        <w:instrText xml:space="preserve"> REF _Ref51771383 \w \h </w:instrText>
      </w:r>
      <w:r w:rsidR="00B11FA7">
        <w:fldChar w:fldCharType="separate"/>
      </w:r>
      <w:r w:rsidR="00B11FA7">
        <w:t>[6]</w:t>
      </w:r>
      <w:r w:rsidR="00B11FA7">
        <w:fldChar w:fldCharType="end"/>
      </w:r>
      <w:r w:rsidRPr="0062332A">
        <w:t xml:space="preserve">. </w:t>
      </w:r>
      <w:r w:rsidR="00B11FA7">
        <w:t>All</w:t>
      </w:r>
      <w:r w:rsidRPr="0062332A">
        <w:t xml:space="preserve"> contributions investigated quiet zone sizes required for various UE types including power classes, e.g., tablets, laptops, CPEs, etc, and highlighted that the current 30cm spherical quiet zone is not sufficient to test larger devices, e.g., tablets and laptops. It was furthermore pointed out that larger quiet zone sizes previously defined in legacy OTA test plans, e.g., 50cm diameter, are not sufficient to provide good </w:t>
      </w:r>
      <w:r w:rsidR="005150A3">
        <w:t xml:space="preserve">test case </w:t>
      </w:r>
      <w:r w:rsidRPr="0062332A">
        <w:t xml:space="preserve">coverage. For instance, in </w:t>
      </w:r>
      <w:r w:rsidRPr="0062332A">
        <w:fldChar w:fldCharType="begin"/>
      </w:r>
      <w:r w:rsidRPr="0062332A">
        <w:instrText xml:space="preserve"> REF _Ref46830966 \r \h </w:instrText>
      </w:r>
      <w:r w:rsidRPr="0062332A">
        <w:fldChar w:fldCharType="separate"/>
      </w:r>
      <w:r w:rsidR="00B11FA7">
        <w:t>[4]</w:t>
      </w:r>
      <w:r w:rsidRPr="0062332A">
        <w:fldChar w:fldCharType="end"/>
      </w:r>
      <w:r w:rsidRPr="0062332A">
        <w:t xml:space="preserve"> it was observed that based on the data set studied, almost 20% of devices could not fit into a 50cm QZ</w:t>
      </w:r>
      <w:r w:rsidR="00B11FA7">
        <w:t xml:space="preserve"> while in </w:t>
      </w:r>
      <w:r w:rsidR="00B11FA7">
        <w:fldChar w:fldCharType="begin"/>
      </w:r>
      <w:r w:rsidR="00B11FA7">
        <w:instrText xml:space="preserve"> REF _Ref51771383 \w \h </w:instrText>
      </w:r>
      <w:r w:rsidR="00B11FA7">
        <w:fldChar w:fldCharType="separate"/>
      </w:r>
      <w:r w:rsidR="00B11FA7">
        <w:t>[6]</w:t>
      </w:r>
      <w:r w:rsidR="00B11FA7">
        <w:fldChar w:fldCharType="end"/>
      </w:r>
      <w:r w:rsidR="00B11FA7">
        <w:t xml:space="preserve"> it was observed that almost 15% of devices could not fit into a 55cm QZ</w:t>
      </w:r>
      <w:r w:rsidRPr="0062332A">
        <w:t>.</w:t>
      </w:r>
    </w:p>
    <w:p w14:paraId="467A9B4C" w14:textId="710AB624" w:rsidR="001B2645" w:rsidRPr="0062332A" w:rsidRDefault="001B2645" w:rsidP="001B2645">
      <w:pPr>
        <w:pBdr>
          <w:top w:val="single" w:sz="4" w:space="1" w:color="auto"/>
          <w:left w:val="single" w:sz="4" w:space="4" w:color="auto"/>
          <w:bottom w:val="single" w:sz="4" w:space="1" w:color="auto"/>
          <w:right w:val="single" w:sz="4" w:space="4" w:color="auto"/>
        </w:pBdr>
        <w:jc w:val="both"/>
      </w:pPr>
      <w:r w:rsidRPr="0062332A">
        <w:rPr>
          <w:b/>
        </w:rPr>
        <w:t>Observation 2 (from</w:t>
      </w:r>
      <w:r w:rsidRPr="0062332A">
        <w:rPr>
          <w:b/>
          <w:bCs/>
        </w:rPr>
        <w:t xml:space="preserve"> </w:t>
      </w:r>
      <w:r w:rsidR="00B11FA7">
        <w:rPr>
          <w:b/>
          <w:bCs/>
        </w:rPr>
        <w:fldChar w:fldCharType="begin"/>
      </w:r>
      <w:r w:rsidR="00B11FA7">
        <w:rPr>
          <w:b/>
          <w:bCs/>
        </w:rPr>
        <w:instrText xml:space="preserve"> REF _Ref51771383 \w \h </w:instrText>
      </w:r>
      <w:r w:rsidR="00B11FA7">
        <w:rPr>
          <w:b/>
          <w:bCs/>
        </w:rPr>
      </w:r>
      <w:r w:rsidR="00B11FA7">
        <w:rPr>
          <w:b/>
          <w:bCs/>
        </w:rPr>
        <w:fldChar w:fldCharType="separate"/>
      </w:r>
      <w:r w:rsidR="00B11FA7">
        <w:rPr>
          <w:b/>
          <w:bCs/>
        </w:rPr>
        <w:t>[6]</w:t>
      </w:r>
      <w:r w:rsidR="00B11FA7">
        <w:rPr>
          <w:b/>
          <w:bCs/>
        </w:rPr>
        <w:fldChar w:fldCharType="end"/>
      </w:r>
      <w:r w:rsidRPr="0062332A">
        <w:rPr>
          <w:b/>
          <w:bCs/>
        </w:rPr>
        <w:t>)</w:t>
      </w:r>
      <w:r w:rsidRPr="0062332A">
        <w:rPr>
          <w:b/>
        </w:rPr>
        <w:t>:</w:t>
      </w:r>
      <w:r w:rsidRPr="0062332A">
        <w:t xml:space="preserve"> </w:t>
      </w:r>
      <w:r w:rsidR="00B11FA7" w:rsidRPr="00D0297D">
        <w:t>~8</w:t>
      </w:r>
      <w:r w:rsidR="00B11FA7">
        <w:t>5</w:t>
      </w:r>
      <w:r w:rsidR="00B11FA7" w:rsidRPr="00D0297D">
        <w:t>% of the devices in the available dataset are covered with a 5</w:t>
      </w:r>
      <w:r w:rsidR="00B11FA7">
        <w:t>5</w:t>
      </w:r>
      <w:r w:rsidR="00B11FA7" w:rsidRPr="00D0297D">
        <w:t>cm QZ</w:t>
      </w:r>
      <w:r w:rsidRPr="0062332A">
        <w:t>.</w:t>
      </w:r>
    </w:p>
    <w:p w14:paraId="321015AD" w14:textId="743FD630" w:rsidR="00074A55" w:rsidRDefault="00F33738" w:rsidP="00D94F08">
      <w:r>
        <w:t xml:space="preserve">The main concern with defining fixed quiet zone sizes is that the number of quiet zone sizes could increase over time </w:t>
      </w:r>
      <w:r w:rsidR="00D94F08">
        <w:t xml:space="preserve">which would continuously increase </w:t>
      </w:r>
      <w:r w:rsidR="00D94F08" w:rsidRPr="0062332A">
        <w:t>the number of test system configurations, quiet zone validations, etc.</w:t>
      </w:r>
      <w:r w:rsidR="00D94F08">
        <w:t xml:space="preserve"> </w:t>
      </w:r>
      <w:r w:rsidR="00B906D3" w:rsidRPr="0062332A">
        <w:t xml:space="preserve">Unfortunately, it is impossible to estimate the largest device size for PC3 and PC1 devices, current focus within RAN5, that will be deployed in the foreseeable future which makes it almost impossible to determine the largest quiet zone that will guarantee a 100% coverage. </w:t>
      </w:r>
      <w:r w:rsidR="00D94F08">
        <w:t>Increasing the size of the</w:t>
      </w:r>
      <w:r w:rsidR="00B906D3">
        <w:t xml:space="preserve"> CATR</w:t>
      </w:r>
      <w:r w:rsidR="00D94F08">
        <w:t xml:space="preserve"> reflector</w:t>
      </w:r>
      <w:r w:rsidR="00074A55">
        <w:t xml:space="preserve"> to support larger quiet zones would in turn require either large focal distances which yields higher free-space path losses or</w:t>
      </w:r>
      <w:r w:rsidR="00A955B9">
        <w:t xml:space="preserve"> require</w:t>
      </w:r>
      <w:r w:rsidR="00074A55">
        <w:t xml:space="preserve"> antennas with wider beam</w:t>
      </w:r>
      <w:r w:rsidR="00B906D3">
        <w:t xml:space="preserve"> </w:t>
      </w:r>
      <w:r w:rsidR="00074A55">
        <w:t>widths with lower gain which yields higher overall system losses</w:t>
      </w:r>
      <w:r w:rsidR="00B906D3">
        <w:t xml:space="preserve"> compared to existing systems supporting the 30cm QZ</w:t>
      </w:r>
      <w:r w:rsidR="00074A55">
        <w:t xml:space="preserve">. </w:t>
      </w:r>
    </w:p>
    <w:p w14:paraId="2B781D50" w14:textId="2C4656C6" w:rsidR="00074A55" w:rsidRDefault="00074A55" w:rsidP="00074A55">
      <w:pPr>
        <w:pStyle w:val="Caption"/>
      </w:pPr>
      <w:bookmarkStart w:id="4" w:name="_Ref52472912"/>
      <w:bookmarkStart w:id="5" w:name="_Ref52473293"/>
      <w:r>
        <w:t xml:space="preserve">Observation </w:t>
      </w:r>
      <w:r>
        <w:fldChar w:fldCharType="begin"/>
      </w:r>
      <w:r>
        <w:instrText xml:space="preserve"> SEQ Observation \* ARABIC </w:instrText>
      </w:r>
      <w:r>
        <w:fldChar w:fldCharType="separate"/>
      </w:r>
      <w:r w:rsidR="00AC5011">
        <w:rPr>
          <w:noProof/>
        </w:rPr>
        <w:t>1</w:t>
      </w:r>
      <w:r>
        <w:fldChar w:fldCharType="end"/>
      </w:r>
      <w:r>
        <w:t xml:space="preserve">: Increasing the quiet zones and thus </w:t>
      </w:r>
      <w:r w:rsidR="00B906D3">
        <w:t xml:space="preserve">CATR </w:t>
      </w:r>
      <w:r>
        <w:t>reflectors generally leads to higher system losses and thus reduced dynamic range</w:t>
      </w:r>
      <w:bookmarkEnd w:id="4"/>
      <w:r w:rsidR="005150A3">
        <w:t xml:space="preserve"> and therefore higher MUs</w:t>
      </w:r>
      <w:bookmarkEnd w:id="5"/>
    </w:p>
    <w:p w14:paraId="73E23B8F" w14:textId="30F81E66" w:rsidR="00B906D3" w:rsidRDefault="00074A55" w:rsidP="00B906D3">
      <w:r>
        <w:t>In the last meeting, it was agreed to strive for 100% test coverage for (all) devices and consider alternate approaches than selecting fixed quiet zone sizes</w:t>
      </w:r>
      <w:r w:rsidR="00A955B9">
        <w:t xml:space="preserve"> </w:t>
      </w:r>
      <w:r w:rsidR="00A955B9">
        <w:fldChar w:fldCharType="begin"/>
      </w:r>
      <w:r w:rsidR="00A955B9">
        <w:instrText xml:space="preserve"> REF _Ref51771382 \r \h </w:instrText>
      </w:r>
      <w:r w:rsidR="00A955B9">
        <w:fldChar w:fldCharType="separate"/>
      </w:r>
      <w:r w:rsidR="00A955B9">
        <w:t>[5]</w:t>
      </w:r>
      <w:r w:rsidR="00A955B9">
        <w:fldChar w:fldCharType="end"/>
      </w:r>
      <w:r>
        <w:t>.</w:t>
      </w:r>
      <w:r w:rsidR="00B906D3" w:rsidRPr="00B906D3">
        <w:t xml:space="preserve"> </w:t>
      </w:r>
      <w:r w:rsidR="00B906D3">
        <w:t xml:space="preserve">Alternate approaches that would allow DUTs to be tested without an increase in system/path losses would be more suitable in terms of measurement uncertainties, dynamic ranges, and number of test system configurations. </w:t>
      </w:r>
    </w:p>
    <w:p w14:paraId="6868F86C" w14:textId="134619E6" w:rsidR="00B15102" w:rsidRPr="00B15102" w:rsidRDefault="00B906D3" w:rsidP="004A06FB">
      <w:r>
        <w:t xml:space="preserve">Based on the discussion of larger QZ sizes in RAN5#87-e </w:t>
      </w:r>
      <w:r>
        <w:fldChar w:fldCharType="begin"/>
      </w:r>
      <w:r>
        <w:instrText xml:space="preserve"> REF _Ref46830966 \r \h </w:instrText>
      </w:r>
      <w:r>
        <w:fldChar w:fldCharType="separate"/>
      </w:r>
      <w:r>
        <w:t>[4]</w:t>
      </w:r>
      <w:r>
        <w:fldChar w:fldCharType="end"/>
      </w:r>
      <w:r>
        <w:t xml:space="preserve">, </w:t>
      </w:r>
      <w:r w:rsidR="00B15102">
        <w:t xml:space="preserve">three </w:t>
      </w:r>
      <w:r>
        <w:t>action points related to quiet zones were created</w:t>
      </w:r>
      <w:r w:rsidR="00B15102">
        <w:t xml:space="preserve"> in RAN5#87-e. One of which was closed in RAN5#88-e, while the remaining two (</w:t>
      </w:r>
      <w:r w:rsidR="00B15102" w:rsidRPr="00B15102">
        <w:t>AP#87e.23</w:t>
      </w:r>
      <w:r w:rsidR="00B15102">
        <w:t xml:space="preserve"> and </w:t>
      </w:r>
      <w:r w:rsidR="00B15102" w:rsidRPr="00B15102">
        <w:t>AP#87e.2</w:t>
      </w:r>
      <w:r w:rsidR="00B15102">
        <w:t xml:space="preserve">4) were kept open. </w:t>
      </w:r>
    </w:p>
    <w:p w14:paraId="01244B4A" w14:textId="77777777" w:rsidR="00B15102" w:rsidRDefault="00B15102" w:rsidP="001B2645"/>
    <w:tbl>
      <w:tblPr>
        <w:tblW w:w="8986"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2"/>
        <w:gridCol w:w="739"/>
        <w:gridCol w:w="2649"/>
        <w:gridCol w:w="1296"/>
        <w:gridCol w:w="1152"/>
        <w:gridCol w:w="1134"/>
        <w:gridCol w:w="864"/>
      </w:tblGrid>
      <w:tr w:rsidR="00B906D3" w:rsidRPr="0062332A" w14:paraId="67AA817F" w14:textId="77777777" w:rsidTr="00B906D3">
        <w:trPr>
          <w:cantSplit/>
          <w:trHeight w:val="256"/>
          <w:tblHeader/>
        </w:trPr>
        <w:tc>
          <w:tcPr>
            <w:tcW w:w="1152" w:type="dxa"/>
            <w:shd w:val="clear" w:color="auto" w:fill="E6E6E6"/>
            <w:hideMark/>
          </w:tcPr>
          <w:p w14:paraId="3FB53263" w14:textId="77777777" w:rsidR="00B906D3" w:rsidRPr="0062332A" w:rsidRDefault="00B906D3" w:rsidP="00D21ED3">
            <w:pPr>
              <w:keepNext/>
              <w:keepLines/>
              <w:spacing w:after="0"/>
              <w:jc w:val="center"/>
              <w:rPr>
                <w:rFonts w:ascii="Arial" w:hAnsi="Arial"/>
                <w:b/>
                <w:sz w:val="18"/>
              </w:rPr>
            </w:pPr>
            <w:r w:rsidRPr="0062332A">
              <w:rPr>
                <w:rFonts w:ascii="Arial" w:hAnsi="Arial"/>
                <w:b/>
                <w:sz w:val="18"/>
              </w:rPr>
              <w:lastRenderedPageBreak/>
              <w:t>Action ID</w:t>
            </w:r>
          </w:p>
        </w:tc>
        <w:tc>
          <w:tcPr>
            <w:tcW w:w="739" w:type="dxa"/>
            <w:shd w:val="clear" w:color="auto" w:fill="E6E6E6"/>
            <w:hideMark/>
          </w:tcPr>
          <w:p w14:paraId="255AC487" w14:textId="77777777" w:rsidR="00B906D3" w:rsidRPr="0062332A" w:rsidRDefault="00B906D3" w:rsidP="00D21ED3">
            <w:pPr>
              <w:keepNext/>
              <w:keepLines/>
              <w:spacing w:after="0"/>
              <w:jc w:val="center"/>
              <w:rPr>
                <w:rFonts w:ascii="Arial" w:hAnsi="Arial"/>
                <w:b/>
                <w:sz w:val="18"/>
              </w:rPr>
            </w:pPr>
            <w:r w:rsidRPr="0062332A">
              <w:rPr>
                <w:rFonts w:ascii="Arial" w:hAnsi="Arial"/>
                <w:b/>
                <w:sz w:val="18"/>
              </w:rPr>
              <w:t>sWG</w:t>
            </w:r>
          </w:p>
        </w:tc>
        <w:tc>
          <w:tcPr>
            <w:tcW w:w="2649" w:type="dxa"/>
            <w:shd w:val="clear" w:color="auto" w:fill="E6E6E6"/>
            <w:hideMark/>
          </w:tcPr>
          <w:p w14:paraId="26322A3D" w14:textId="77777777" w:rsidR="00B906D3" w:rsidRPr="0062332A" w:rsidRDefault="00B906D3" w:rsidP="00D21ED3">
            <w:pPr>
              <w:keepNext/>
              <w:keepLines/>
              <w:spacing w:after="0"/>
              <w:jc w:val="center"/>
              <w:rPr>
                <w:rFonts w:ascii="Arial" w:hAnsi="Arial"/>
                <w:b/>
                <w:sz w:val="18"/>
              </w:rPr>
            </w:pPr>
            <w:r w:rsidRPr="0062332A">
              <w:rPr>
                <w:rFonts w:ascii="Arial" w:hAnsi="Arial"/>
                <w:b/>
                <w:sz w:val="18"/>
              </w:rPr>
              <w:t>Action</w:t>
            </w:r>
          </w:p>
        </w:tc>
        <w:tc>
          <w:tcPr>
            <w:tcW w:w="1296" w:type="dxa"/>
            <w:shd w:val="clear" w:color="auto" w:fill="E6E6E6"/>
            <w:hideMark/>
          </w:tcPr>
          <w:p w14:paraId="6D8B2CAA" w14:textId="77777777" w:rsidR="00B906D3" w:rsidRPr="0062332A" w:rsidRDefault="00B906D3" w:rsidP="00D21ED3">
            <w:pPr>
              <w:keepNext/>
              <w:keepLines/>
              <w:spacing w:after="0"/>
              <w:jc w:val="center"/>
              <w:rPr>
                <w:rFonts w:ascii="Arial" w:hAnsi="Arial"/>
                <w:b/>
                <w:sz w:val="18"/>
              </w:rPr>
            </w:pPr>
            <w:r w:rsidRPr="0062332A">
              <w:rPr>
                <w:rFonts w:ascii="Arial" w:hAnsi="Arial"/>
                <w:b/>
                <w:sz w:val="18"/>
              </w:rPr>
              <w:t>Responsible</w:t>
            </w:r>
          </w:p>
        </w:tc>
        <w:tc>
          <w:tcPr>
            <w:tcW w:w="1152" w:type="dxa"/>
            <w:shd w:val="clear" w:color="auto" w:fill="E6E6E6"/>
            <w:hideMark/>
          </w:tcPr>
          <w:p w14:paraId="0F3D730B" w14:textId="77777777" w:rsidR="00B906D3" w:rsidRPr="0062332A" w:rsidRDefault="00B906D3" w:rsidP="00D21ED3">
            <w:pPr>
              <w:keepNext/>
              <w:keepLines/>
              <w:spacing w:after="0"/>
              <w:jc w:val="center"/>
              <w:rPr>
                <w:rFonts w:ascii="Arial" w:hAnsi="Arial"/>
                <w:b/>
                <w:sz w:val="18"/>
              </w:rPr>
            </w:pPr>
            <w:r w:rsidRPr="0062332A">
              <w:rPr>
                <w:rFonts w:ascii="Arial" w:hAnsi="Arial"/>
                <w:b/>
                <w:sz w:val="18"/>
              </w:rPr>
              <w:t>Relevant Tdoc</w:t>
            </w:r>
          </w:p>
        </w:tc>
        <w:tc>
          <w:tcPr>
            <w:tcW w:w="1134" w:type="dxa"/>
            <w:shd w:val="clear" w:color="auto" w:fill="E6E6E6"/>
            <w:hideMark/>
          </w:tcPr>
          <w:p w14:paraId="43731515" w14:textId="77777777" w:rsidR="00B906D3" w:rsidRPr="0062332A" w:rsidRDefault="00B906D3" w:rsidP="00D21ED3">
            <w:pPr>
              <w:keepNext/>
              <w:keepLines/>
              <w:spacing w:after="0"/>
              <w:jc w:val="center"/>
              <w:rPr>
                <w:rFonts w:ascii="Arial" w:hAnsi="Arial"/>
                <w:b/>
                <w:sz w:val="18"/>
              </w:rPr>
            </w:pPr>
            <w:r w:rsidRPr="0062332A">
              <w:rPr>
                <w:rFonts w:ascii="Arial" w:hAnsi="Arial"/>
                <w:b/>
                <w:sz w:val="18"/>
              </w:rPr>
              <w:t>Deadline</w:t>
            </w:r>
          </w:p>
        </w:tc>
        <w:tc>
          <w:tcPr>
            <w:tcW w:w="864" w:type="dxa"/>
            <w:shd w:val="clear" w:color="auto" w:fill="E6E6E6"/>
            <w:hideMark/>
          </w:tcPr>
          <w:p w14:paraId="30FCA74A" w14:textId="77777777" w:rsidR="00B906D3" w:rsidRPr="0062332A" w:rsidRDefault="00B906D3" w:rsidP="00D21ED3">
            <w:pPr>
              <w:keepNext/>
              <w:keepLines/>
              <w:spacing w:after="0"/>
              <w:jc w:val="center"/>
              <w:rPr>
                <w:rFonts w:ascii="Arial" w:hAnsi="Arial"/>
                <w:b/>
                <w:sz w:val="18"/>
              </w:rPr>
            </w:pPr>
            <w:r w:rsidRPr="0062332A">
              <w:rPr>
                <w:rFonts w:ascii="Arial" w:hAnsi="Arial"/>
                <w:b/>
                <w:sz w:val="18"/>
              </w:rPr>
              <w:t>Status</w:t>
            </w:r>
          </w:p>
        </w:tc>
      </w:tr>
      <w:tr w:rsidR="00B906D3" w:rsidRPr="0062332A" w14:paraId="1FF5421A" w14:textId="77777777" w:rsidTr="00B906D3">
        <w:trPr>
          <w:cantSplit/>
          <w:trHeight w:val="512"/>
        </w:trPr>
        <w:tc>
          <w:tcPr>
            <w:tcW w:w="1152" w:type="dxa"/>
          </w:tcPr>
          <w:p w14:paraId="1336C725" w14:textId="77777777" w:rsidR="00B906D3" w:rsidRPr="0062332A" w:rsidRDefault="00B906D3" w:rsidP="00D21ED3">
            <w:pPr>
              <w:keepNext/>
              <w:keepLines/>
              <w:spacing w:after="0"/>
              <w:rPr>
                <w:rFonts w:ascii="Arial" w:hAnsi="Arial"/>
                <w:sz w:val="18"/>
              </w:rPr>
            </w:pPr>
            <w:r>
              <w:rPr>
                <w:rFonts w:ascii="Arial" w:hAnsi="Arial"/>
                <w:sz w:val="18"/>
              </w:rPr>
              <w:t>AP#87e.23</w:t>
            </w:r>
          </w:p>
        </w:tc>
        <w:tc>
          <w:tcPr>
            <w:tcW w:w="739" w:type="dxa"/>
          </w:tcPr>
          <w:p w14:paraId="3782A065" w14:textId="77777777" w:rsidR="00B906D3" w:rsidRPr="0062332A" w:rsidRDefault="00B906D3" w:rsidP="00D21ED3">
            <w:pPr>
              <w:keepNext/>
              <w:keepLines/>
              <w:spacing w:after="0"/>
              <w:rPr>
                <w:rFonts w:ascii="Arial" w:hAnsi="Arial"/>
                <w:sz w:val="18"/>
              </w:rPr>
            </w:pPr>
            <w:r>
              <w:rPr>
                <w:rFonts w:ascii="Arial" w:hAnsi="Arial"/>
                <w:sz w:val="18"/>
              </w:rPr>
              <w:t>RF</w:t>
            </w:r>
          </w:p>
        </w:tc>
        <w:tc>
          <w:tcPr>
            <w:tcW w:w="2649" w:type="dxa"/>
          </w:tcPr>
          <w:p w14:paraId="2950273F" w14:textId="77777777" w:rsidR="00B906D3" w:rsidRDefault="00B906D3" w:rsidP="00D21ED3">
            <w:pPr>
              <w:keepNext/>
              <w:keepLines/>
              <w:spacing w:after="0"/>
              <w:rPr>
                <w:rFonts w:ascii="Arial" w:hAnsi="Arial"/>
                <w:sz w:val="18"/>
                <w:lang w:val="en-CA"/>
              </w:rPr>
            </w:pPr>
            <w:r>
              <w:rPr>
                <w:rFonts w:ascii="Arial" w:hAnsi="Arial"/>
                <w:sz w:val="18"/>
                <w:lang w:val="en-CA"/>
              </w:rPr>
              <w:t>OEM vendors and Operators to provide feedback on how to handle test coverage for large devices in case 100% coverage cannot be ensured.</w:t>
            </w:r>
          </w:p>
          <w:p w14:paraId="02FE6C97" w14:textId="77777777" w:rsidR="00B906D3" w:rsidRPr="0062332A" w:rsidRDefault="00B906D3" w:rsidP="00D21ED3">
            <w:pPr>
              <w:keepNext/>
              <w:keepLines/>
              <w:spacing w:after="0"/>
              <w:rPr>
                <w:rFonts w:ascii="Arial" w:hAnsi="Arial"/>
                <w:sz w:val="18"/>
                <w:lang w:val="en-CA"/>
              </w:rPr>
            </w:pPr>
            <w:r>
              <w:rPr>
                <w:rFonts w:ascii="Arial" w:hAnsi="Arial"/>
                <w:sz w:val="18"/>
                <w:lang w:val="en-CA"/>
              </w:rPr>
              <w:t>Any TP allowance, MU relaxations allowed for meeting the requirements</w:t>
            </w:r>
          </w:p>
        </w:tc>
        <w:tc>
          <w:tcPr>
            <w:tcW w:w="1296" w:type="dxa"/>
          </w:tcPr>
          <w:p w14:paraId="75988204" w14:textId="77777777" w:rsidR="00B906D3" w:rsidRPr="0062332A" w:rsidRDefault="00B906D3" w:rsidP="00D21ED3">
            <w:pPr>
              <w:keepNext/>
              <w:keepLines/>
              <w:spacing w:after="0"/>
              <w:rPr>
                <w:rFonts w:ascii="Arial" w:hAnsi="Arial"/>
                <w:sz w:val="18"/>
              </w:rPr>
            </w:pPr>
            <w:r>
              <w:rPr>
                <w:rFonts w:ascii="Arial" w:hAnsi="Arial"/>
                <w:sz w:val="18"/>
              </w:rPr>
              <w:t>OEMs and Operators</w:t>
            </w:r>
          </w:p>
        </w:tc>
        <w:tc>
          <w:tcPr>
            <w:tcW w:w="1152" w:type="dxa"/>
          </w:tcPr>
          <w:p w14:paraId="76C0D740" w14:textId="77777777" w:rsidR="00B906D3" w:rsidRDefault="00B906D3" w:rsidP="00D21ED3">
            <w:pPr>
              <w:keepNext/>
              <w:keepLines/>
              <w:spacing w:after="0"/>
              <w:rPr>
                <w:rFonts w:ascii="Arial" w:hAnsi="Arial"/>
                <w:sz w:val="18"/>
                <w:lang w:val="en-US"/>
              </w:rPr>
            </w:pPr>
            <w:r>
              <w:rPr>
                <w:rFonts w:ascii="Arial" w:hAnsi="Arial"/>
                <w:sz w:val="18"/>
                <w:lang w:val="en-US"/>
              </w:rPr>
              <w:t>R5-202082</w:t>
            </w:r>
          </w:p>
          <w:p w14:paraId="5F0EB67F" w14:textId="77777777" w:rsidR="00B906D3" w:rsidRDefault="00B906D3" w:rsidP="00D21ED3">
            <w:pPr>
              <w:keepNext/>
              <w:keepLines/>
              <w:spacing w:after="0"/>
              <w:rPr>
                <w:rFonts w:ascii="Arial" w:hAnsi="Arial"/>
                <w:sz w:val="18"/>
                <w:lang w:val="en-US"/>
              </w:rPr>
            </w:pPr>
            <w:r>
              <w:rPr>
                <w:rFonts w:ascii="Arial" w:hAnsi="Arial"/>
                <w:sz w:val="18"/>
                <w:lang w:val="en-US"/>
              </w:rPr>
              <w:t>R5-202083</w:t>
            </w:r>
          </w:p>
          <w:p w14:paraId="527C16E7" w14:textId="77777777" w:rsidR="00B906D3" w:rsidRDefault="00B906D3" w:rsidP="00D21ED3">
            <w:pPr>
              <w:keepNext/>
              <w:keepLines/>
              <w:spacing w:after="0"/>
              <w:rPr>
                <w:rFonts w:ascii="Arial" w:hAnsi="Arial"/>
                <w:sz w:val="18"/>
                <w:lang w:val="en-US"/>
              </w:rPr>
            </w:pPr>
            <w:r>
              <w:rPr>
                <w:rFonts w:ascii="Arial" w:hAnsi="Arial"/>
                <w:sz w:val="18"/>
                <w:lang w:val="en-US"/>
              </w:rPr>
              <w:t>R5-202084</w:t>
            </w:r>
          </w:p>
          <w:p w14:paraId="7D8783EA" w14:textId="77777777" w:rsidR="00B906D3" w:rsidRDefault="00B906D3" w:rsidP="00D21ED3">
            <w:pPr>
              <w:keepNext/>
              <w:keepLines/>
              <w:spacing w:after="0"/>
              <w:rPr>
                <w:rFonts w:ascii="Arial" w:hAnsi="Arial"/>
                <w:sz w:val="18"/>
                <w:lang w:val="en-US"/>
              </w:rPr>
            </w:pPr>
            <w:r>
              <w:rPr>
                <w:rFonts w:ascii="Arial" w:hAnsi="Arial"/>
                <w:sz w:val="18"/>
                <w:lang w:val="en-US"/>
              </w:rPr>
              <w:t>R5-202085</w:t>
            </w:r>
          </w:p>
          <w:p w14:paraId="52DCACB4" w14:textId="77777777" w:rsidR="00B906D3" w:rsidRDefault="00B906D3" w:rsidP="00D21ED3">
            <w:pPr>
              <w:keepNext/>
              <w:keepLines/>
              <w:spacing w:after="0"/>
              <w:rPr>
                <w:rFonts w:ascii="Arial" w:hAnsi="Arial"/>
                <w:sz w:val="18"/>
                <w:lang w:val="en-US"/>
              </w:rPr>
            </w:pPr>
            <w:r>
              <w:rPr>
                <w:rFonts w:ascii="Arial" w:hAnsi="Arial"/>
                <w:sz w:val="18"/>
                <w:lang w:val="en-US"/>
              </w:rPr>
              <w:t>R5-198262</w:t>
            </w:r>
          </w:p>
          <w:p w14:paraId="76DA699A" w14:textId="77777777" w:rsidR="00B906D3" w:rsidRDefault="00B906D3" w:rsidP="00D21ED3">
            <w:pPr>
              <w:keepNext/>
              <w:keepLines/>
              <w:spacing w:after="0"/>
              <w:rPr>
                <w:rFonts w:ascii="Arial" w:hAnsi="Arial"/>
                <w:sz w:val="18"/>
                <w:lang w:val="en-US"/>
              </w:rPr>
            </w:pPr>
            <w:r>
              <w:rPr>
                <w:rFonts w:ascii="Arial" w:hAnsi="Arial"/>
                <w:sz w:val="18"/>
                <w:lang w:val="en-US"/>
              </w:rPr>
              <w:t>R5-198262</w:t>
            </w:r>
          </w:p>
          <w:p w14:paraId="34122E95" w14:textId="77777777" w:rsidR="00B906D3" w:rsidRDefault="00B906D3" w:rsidP="00D21ED3">
            <w:pPr>
              <w:keepNext/>
              <w:keepLines/>
              <w:spacing w:after="0"/>
              <w:rPr>
                <w:rFonts w:ascii="Arial" w:hAnsi="Arial"/>
                <w:sz w:val="18"/>
                <w:lang w:val="en-US"/>
              </w:rPr>
            </w:pPr>
            <w:r>
              <w:rPr>
                <w:rFonts w:ascii="Arial" w:hAnsi="Arial"/>
                <w:sz w:val="18"/>
                <w:lang w:val="en-US"/>
              </w:rPr>
              <w:t>R5-204191</w:t>
            </w:r>
          </w:p>
          <w:p w14:paraId="3891EADD" w14:textId="77777777" w:rsidR="00B906D3" w:rsidRPr="0062332A" w:rsidRDefault="00B906D3" w:rsidP="00D21ED3">
            <w:pPr>
              <w:keepNext/>
              <w:keepLines/>
              <w:spacing w:after="0"/>
              <w:rPr>
                <w:rFonts w:ascii="Arial" w:hAnsi="Arial"/>
                <w:sz w:val="18"/>
                <w:lang w:val="en-US"/>
              </w:rPr>
            </w:pPr>
            <w:r>
              <w:rPr>
                <w:rFonts w:ascii="Arial" w:hAnsi="Arial"/>
                <w:sz w:val="18"/>
                <w:lang w:val="en-US"/>
              </w:rPr>
              <w:t>R5-204200</w:t>
            </w:r>
          </w:p>
        </w:tc>
        <w:tc>
          <w:tcPr>
            <w:tcW w:w="1134" w:type="dxa"/>
          </w:tcPr>
          <w:p w14:paraId="50EBE6DE" w14:textId="77777777" w:rsidR="00B906D3" w:rsidRPr="0062332A" w:rsidRDefault="00B906D3" w:rsidP="00D21ED3">
            <w:pPr>
              <w:keepNext/>
              <w:keepLines/>
              <w:spacing w:after="0"/>
              <w:rPr>
                <w:rFonts w:ascii="Arial" w:hAnsi="Arial"/>
                <w:sz w:val="18"/>
              </w:rPr>
            </w:pPr>
            <w:r>
              <w:rPr>
                <w:rFonts w:ascii="Arial" w:hAnsi="Arial"/>
                <w:sz w:val="18"/>
              </w:rPr>
              <w:t>RAN5#89e</w:t>
            </w:r>
          </w:p>
        </w:tc>
        <w:tc>
          <w:tcPr>
            <w:tcW w:w="864" w:type="dxa"/>
          </w:tcPr>
          <w:p w14:paraId="0504B08A" w14:textId="77777777" w:rsidR="00B906D3" w:rsidRPr="0062332A" w:rsidRDefault="00B906D3" w:rsidP="00D21ED3">
            <w:pPr>
              <w:keepNext/>
              <w:keepLines/>
              <w:spacing w:after="0"/>
              <w:rPr>
                <w:rFonts w:ascii="Arial" w:hAnsi="Arial"/>
                <w:sz w:val="18"/>
              </w:rPr>
            </w:pPr>
            <w:r>
              <w:rPr>
                <w:rFonts w:ascii="Arial" w:hAnsi="Arial"/>
                <w:sz w:val="18"/>
              </w:rPr>
              <w:t>Open</w:t>
            </w:r>
          </w:p>
        </w:tc>
      </w:tr>
      <w:tr w:rsidR="00B906D3" w:rsidRPr="0062332A" w14:paraId="14C431E1" w14:textId="77777777" w:rsidTr="00B906D3">
        <w:trPr>
          <w:cantSplit/>
          <w:trHeight w:val="512"/>
        </w:trPr>
        <w:tc>
          <w:tcPr>
            <w:tcW w:w="1152" w:type="dxa"/>
          </w:tcPr>
          <w:p w14:paraId="1EF59A1E" w14:textId="77777777" w:rsidR="00B906D3" w:rsidRPr="0062332A" w:rsidRDefault="00B906D3" w:rsidP="00D21ED3">
            <w:pPr>
              <w:keepNext/>
              <w:keepLines/>
              <w:spacing w:after="0"/>
              <w:rPr>
                <w:rFonts w:ascii="Arial" w:hAnsi="Arial"/>
                <w:sz w:val="18"/>
              </w:rPr>
            </w:pPr>
            <w:r>
              <w:rPr>
                <w:rFonts w:ascii="Arial" w:hAnsi="Arial"/>
                <w:sz w:val="18"/>
              </w:rPr>
              <w:t>AP#87e.24</w:t>
            </w:r>
          </w:p>
        </w:tc>
        <w:tc>
          <w:tcPr>
            <w:tcW w:w="739" w:type="dxa"/>
          </w:tcPr>
          <w:p w14:paraId="4F262CFE" w14:textId="77777777" w:rsidR="00B906D3" w:rsidRPr="0062332A" w:rsidRDefault="00B906D3" w:rsidP="00D21ED3">
            <w:pPr>
              <w:keepNext/>
              <w:keepLines/>
              <w:spacing w:after="0"/>
              <w:rPr>
                <w:rFonts w:ascii="Arial" w:hAnsi="Arial"/>
                <w:sz w:val="18"/>
              </w:rPr>
            </w:pPr>
            <w:r>
              <w:rPr>
                <w:rFonts w:ascii="Arial" w:hAnsi="Arial"/>
                <w:sz w:val="18"/>
              </w:rPr>
              <w:t>RF</w:t>
            </w:r>
          </w:p>
        </w:tc>
        <w:tc>
          <w:tcPr>
            <w:tcW w:w="2649" w:type="dxa"/>
          </w:tcPr>
          <w:p w14:paraId="0698D9AE" w14:textId="77777777" w:rsidR="00B906D3" w:rsidRPr="0062332A" w:rsidRDefault="00B906D3" w:rsidP="00D21ED3">
            <w:pPr>
              <w:keepNext/>
              <w:keepLines/>
              <w:spacing w:after="0"/>
              <w:rPr>
                <w:rFonts w:ascii="Arial" w:hAnsi="Arial"/>
                <w:sz w:val="18"/>
                <w:lang w:val="en-CA"/>
              </w:rPr>
            </w:pPr>
            <w:r>
              <w:rPr>
                <w:rFonts w:ascii="Arial" w:hAnsi="Arial"/>
                <w:sz w:val="18"/>
                <w:lang w:val="en-CA"/>
              </w:rPr>
              <w:t xml:space="preserve">OEM vendors and operators to provide data on max antenna separation distances and device size for NR FR2 devices that can currently not be tested with the largest QZ size of 30cm in diameter. </w:t>
            </w:r>
          </w:p>
        </w:tc>
        <w:tc>
          <w:tcPr>
            <w:tcW w:w="1296" w:type="dxa"/>
          </w:tcPr>
          <w:p w14:paraId="30E38DAD" w14:textId="77777777" w:rsidR="00B906D3" w:rsidRPr="0062332A" w:rsidRDefault="00B906D3" w:rsidP="00D21ED3">
            <w:pPr>
              <w:keepNext/>
              <w:keepLines/>
              <w:spacing w:after="0"/>
              <w:rPr>
                <w:rFonts w:ascii="Arial" w:hAnsi="Arial"/>
                <w:sz w:val="18"/>
              </w:rPr>
            </w:pPr>
            <w:r>
              <w:rPr>
                <w:rFonts w:ascii="Arial" w:hAnsi="Arial"/>
                <w:sz w:val="18"/>
              </w:rPr>
              <w:t>OEMs and Operators</w:t>
            </w:r>
          </w:p>
        </w:tc>
        <w:tc>
          <w:tcPr>
            <w:tcW w:w="1152" w:type="dxa"/>
          </w:tcPr>
          <w:p w14:paraId="24BEF8CC" w14:textId="77777777" w:rsidR="00B906D3" w:rsidRDefault="00B906D3" w:rsidP="00D21ED3">
            <w:pPr>
              <w:keepNext/>
              <w:keepLines/>
              <w:spacing w:after="0"/>
              <w:rPr>
                <w:rFonts w:ascii="Arial" w:hAnsi="Arial"/>
                <w:sz w:val="18"/>
                <w:lang w:val="en-US"/>
              </w:rPr>
            </w:pPr>
            <w:r>
              <w:rPr>
                <w:rFonts w:ascii="Arial" w:hAnsi="Arial"/>
                <w:sz w:val="18"/>
                <w:lang w:val="en-US"/>
              </w:rPr>
              <w:t>R5-202082</w:t>
            </w:r>
          </w:p>
          <w:p w14:paraId="4D5B6082" w14:textId="77777777" w:rsidR="00B906D3" w:rsidRDefault="00B906D3" w:rsidP="00D21ED3">
            <w:pPr>
              <w:keepNext/>
              <w:keepLines/>
              <w:spacing w:after="0"/>
              <w:rPr>
                <w:rFonts w:ascii="Arial" w:hAnsi="Arial"/>
                <w:sz w:val="18"/>
                <w:lang w:val="en-US"/>
              </w:rPr>
            </w:pPr>
            <w:r>
              <w:rPr>
                <w:rFonts w:ascii="Arial" w:hAnsi="Arial"/>
                <w:sz w:val="18"/>
                <w:lang w:val="en-US"/>
              </w:rPr>
              <w:t>R5-202083</w:t>
            </w:r>
          </w:p>
          <w:p w14:paraId="4592301F" w14:textId="77777777" w:rsidR="00B906D3" w:rsidRDefault="00B906D3" w:rsidP="00D21ED3">
            <w:pPr>
              <w:keepNext/>
              <w:keepLines/>
              <w:spacing w:after="0"/>
              <w:rPr>
                <w:rFonts w:ascii="Arial" w:hAnsi="Arial"/>
                <w:sz w:val="18"/>
                <w:lang w:val="en-US"/>
              </w:rPr>
            </w:pPr>
            <w:r>
              <w:rPr>
                <w:rFonts w:ascii="Arial" w:hAnsi="Arial"/>
                <w:sz w:val="18"/>
                <w:lang w:val="en-US"/>
              </w:rPr>
              <w:t>R5-202084</w:t>
            </w:r>
          </w:p>
          <w:p w14:paraId="144CE763" w14:textId="77777777" w:rsidR="00B906D3" w:rsidRDefault="00B906D3" w:rsidP="00D21ED3">
            <w:pPr>
              <w:keepNext/>
              <w:keepLines/>
              <w:spacing w:after="0"/>
              <w:rPr>
                <w:rFonts w:ascii="Arial" w:hAnsi="Arial"/>
                <w:sz w:val="18"/>
                <w:lang w:val="en-US"/>
              </w:rPr>
            </w:pPr>
            <w:r>
              <w:rPr>
                <w:rFonts w:ascii="Arial" w:hAnsi="Arial"/>
                <w:sz w:val="18"/>
                <w:lang w:val="en-US"/>
              </w:rPr>
              <w:t>R5-202085</w:t>
            </w:r>
          </w:p>
          <w:p w14:paraId="65557770" w14:textId="77777777" w:rsidR="00B906D3" w:rsidRDefault="00B906D3" w:rsidP="00D21ED3">
            <w:pPr>
              <w:keepNext/>
              <w:keepLines/>
              <w:spacing w:after="0"/>
              <w:rPr>
                <w:rFonts w:ascii="Arial" w:hAnsi="Arial"/>
                <w:sz w:val="18"/>
                <w:lang w:val="en-US"/>
              </w:rPr>
            </w:pPr>
            <w:r>
              <w:rPr>
                <w:rFonts w:ascii="Arial" w:hAnsi="Arial"/>
                <w:sz w:val="18"/>
                <w:lang w:val="en-US"/>
              </w:rPr>
              <w:t>R5-198262</w:t>
            </w:r>
          </w:p>
          <w:p w14:paraId="1AD3DF8D" w14:textId="77777777" w:rsidR="00B906D3" w:rsidRDefault="00B906D3" w:rsidP="00D21ED3">
            <w:pPr>
              <w:keepNext/>
              <w:keepLines/>
              <w:spacing w:after="0"/>
              <w:rPr>
                <w:rFonts w:ascii="Arial" w:hAnsi="Arial"/>
                <w:sz w:val="18"/>
                <w:lang w:val="en-US"/>
              </w:rPr>
            </w:pPr>
            <w:r>
              <w:rPr>
                <w:rFonts w:ascii="Arial" w:hAnsi="Arial"/>
                <w:sz w:val="18"/>
                <w:lang w:val="en-US"/>
              </w:rPr>
              <w:t>R5-204191</w:t>
            </w:r>
          </w:p>
          <w:p w14:paraId="4D33F239" w14:textId="77777777" w:rsidR="00B906D3" w:rsidRPr="0062332A" w:rsidRDefault="00B906D3" w:rsidP="00D21ED3">
            <w:pPr>
              <w:keepNext/>
              <w:keepLines/>
              <w:spacing w:after="0"/>
              <w:rPr>
                <w:rFonts w:ascii="Arial" w:hAnsi="Arial"/>
                <w:sz w:val="18"/>
                <w:lang w:val="en-US"/>
              </w:rPr>
            </w:pPr>
            <w:r>
              <w:rPr>
                <w:rFonts w:ascii="Arial" w:hAnsi="Arial"/>
                <w:sz w:val="18"/>
                <w:lang w:val="en-US"/>
              </w:rPr>
              <w:t>R5-204200</w:t>
            </w:r>
          </w:p>
        </w:tc>
        <w:tc>
          <w:tcPr>
            <w:tcW w:w="1134" w:type="dxa"/>
          </w:tcPr>
          <w:p w14:paraId="5CE051EB" w14:textId="77777777" w:rsidR="00B906D3" w:rsidRPr="0062332A" w:rsidRDefault="00B906D3" w:rsidP="00D21ED3">
            <w:pPr>
              <w:keepNext/>
              <w:keepLines/>
              <w:spacing w:after="0"/>
              <w:rPr>
                <w:rFonts w:ascii="Arial" w:hAnsi="Arial"/>
                <w:sz w:val="18"/>
              </w:rPr>
            </w:pPr>
            <w:r>
              <w:rPr>
                <w:rFonts w:ascii="Arial" w:hAnsi="Arial"/>
                <w:sz w:val="18"/>
              </w:rPr>
              <w:t>RAN5#89e</w:t>
            </w:r>
          </w:p>
        </w:tc>
        <w:tc>
          <w:tcPr>
            <w:tcW w:w="864" w:type="dxa"/>
          </w:tcPr>
          <w:p w14:paraId="24B37CB7" w14:textId="77777777" w:rsidR="00B906D3" w:rsidRPr="0062332A" w:rsidRDefault="00B906D3" w:rsidP="00D21ED3">
            <w:pPr>
              <w:keepNext/>
              <w:keepLines/>
              <w:spacing w:after="0"/>
              <w:rPr>
                <w:rFonts w:ascii="Arial" w:hAnsi="Arial"/>
                <w:sz w:val="18"/>
              </w:rPr>
            </w:pPr>
            <w:r>
              <w:rPr>
                <w:rFonts w:ascii="Arial" w:hAnsi="Arial"/>
                <w:sz w:val="18"/>
              </w:rPr>
              <w:t>Open</w:t>
            </w:r>
          </w:p>
        </w:tc>
      </w:tr>
    </w:tbl>
    <w:p w14:paraId="5E9F1AA6" w14:textId="035C5397" w:rsidR="00B906D3" w:rsidRDefault="00B906D3" w:rsidP="001B2645"/>
    <w:p w14:paraId="0363609E" w14:textId="5299AC91" w:rsidR="004A06FB" w:rsidRDefault="004A06FB" w:rsidP="004A06FB">
      <w:r>
        <w:t xml:space="preserve">Especially the latter action point on the maximum antenna separation of mm-wave antennas </w:t>
      </w:r>
      <w:r w:rsidR="00A955B9">
        <w:t>would be</w:t>
      </w:r>
      <w:r>
        <w:t xml:space="preserve"> important to address before finalizing the larger quiet zones. However, it seems unlikely that OEMs will pro-actively address this action point and provide information o</w:t>
      </w:r>
      <w:r w:rsidR="00A955B9">
        <w:t>n</w:t>
      </w:r>
      <w:r>
        <w:t xml:space="preserve"> their roadmaps and/or antenna architecture decisions. This contribution intends to introduce a suitable quiet zone concept that allows most PC1 and PC3 devices to be tested that do not fit into the existing 30cm quiet zone. Further </w:t>
      </w:r>
      <w:r w:rsidR="00A955B9">
        <w:t>adjustments</w:t>
      </w:r>
      <w:r>
        <w:t xml:space="preserve"> could be made based on OEMs input. </w:t>
      </w:r>
    </w:p>
    <w:p w14:paraId="167E32F1" w14:textId="669A51E4" w:rsidR="004A06FB" w:rsidRPr="00B15102" w:rsidRDefault="004A06FB" w:rsidP="004A06FB">
      <w:pPr>
        <w:pStyle w:val="Caption"/>
      </w:pPr>
      <w:bookmarkStart w:id="6" w:name="_Ref52472913"/>
      <w:r w:rsidRPr="00B15102">
        <w:t xml:space="preserve">Observation </w:t>
      </w:r>
      <w:r w:rsidRPr="00B15102">
        <w:fldChar w:fldCharType="begin"/>
      </w:r>
      <w:r w:rsidRPr="00B15102">
        <w:instrText xml:space="preserve"> SEQ Observation \* ARABIC </w:instrText>
      </w:r>
      <w:r w:rsidRPr="00B15102">
        <w:fldChar w:fldCharType="separate"/>
      </w:r>
      <w:r w:rsidR="00AC5011">
        <w:rPr>
          <w:noProof/>
        </w:rPr>
        <w:t>2</w:t>
      </w:r>
      <w:r w:rsidRPr="00B15102">
        <w:fldChar w:fldCharType="end"/>
      </w:r>
      <w:r w:rsidRPr="00B15102">
        <w:t xml:space="preserve">: </w:t>
      </w:r>
      <w:r>
        <w:t>This contribution intends to address the quiet zone concept for devices that cannot fit into the existing 30cm quiet zone in the absence of OEM feedback on the maximum antenna separation.</w:t>
      </w:r>
      <w:bookmarkEnd w:id="6"/>
      <w:r>
        <w:t xml:space="preserve"> </w:t>
      </w:r>
    </w:p>
    <w:p w14:paraId="2FB8BA6A" w14:textId="419F82CC" w:rsidR="002A6510" w:rsidRDefault="001B2645" w:rsidP="001B2645">
      <w:r w:rsidRPr="0062332A">
        <w:t xml:space="preserve">Instead of defining a quiet zone size that fully encloses the entire device, </w:t>
      </w:r>
      <w:r w:rsidR="004A06FB">
        <w:t>the proposed</w:t>
      </w:r>
      <w:r w:rsidRPr="0062332A">
        <w:t xml:space="preserve"> approach to reduce the sizes of applicable OTA systems is to make sure that all antenna panels integrated in the DUT are enclosed within a fixed and previously assessed quiet zone while allowing the device to extend beyond the quiet zone. This approach would not require the declaration of the exact location of each antenna, typically required for a white box test approach. Instead, </w:t>
      </w:r>
      <w:r w:rsidR="005150A3">
        <w:t xml:space="preserve">a reference point </w:t>
      </w:r>
      <w:r w:rsidRPr="0062332A">
        <w:t xml:space="preserve">of the device to be aligned with the centre of the quiet zone and the maximum antenna panel displacement from the reference point is sufficient (grey box). This approach would greatly increase test case coverage while </w:t>
      </w:r>
      <w:r w:rsidR="004A06FB">
        <w:t xml:space="preserve">preventing a significant increase in size of </w:t>
      </w:r>
      <w:r w:rsidRPr="0062332A">
        <w:t>FR2 OTA test systems and IFF reflector sizes</w:t>
      </w:r>
      <w:r w:rsidR="004A06FB">
        <w:t xml:space="preserve">. </w:t>
      </w:r>
    </w:p>
    <w:p w14:paraId="739B7B6F" w14:textId="7CD7FAE9" w:rsidR="00E671A1" w:rsidRDefault="00E671A1" w:rsidP="001B2645">
      <w:r>
        <w:t xml:space="preserve">This concept is further illustrated and explained in </w:t>
      </w:r>
      <w:r w:rsidR="002A6510">
        <w:fldChar w:fldCharType="begin"/>
      </w:r>
      <w:r w:rsidR="002A6510">
        <w:instrText xml:space="preserve"> REF _Ref52376468 \h </w:instrText>
      </w:r>
      <w:r w:rsidR="002A6510">
        <w:fldChar w:fldCharType="separate"/>
      </w:r>
      <w:r w:rsidR="002A6510">
        <w:t xml:space="preserve">Figure </w:t>
      </w:r>
      <w:r w:rsidR="002A6510">
        <w:rPr>
          <w:noProof/>
        </w:rPr>
        <w:t>1</w:t>
      </w:r>
      <w:r w:rsidR="002A6510">
        <w:fldChar w:fldCharType="end"/>
      </w:r>
      <w:r w:rsidR="002A6510">
        <w:t>-</w:t>
      </w:r>
      <w:r w:rsidR="002A6510">
        <w:fldChar w:fldCharType="begin"/>
      </w:r>
      <w:r w:rsidR="002A6510">
        <w:instrText xml:space="preserve"> REF _Ref52378144 \h </w:instrText>
      </w:r>
      <w:r w:rsidR="002A6510">
        <w:fldChar w:fldCharType="separate"/>
      </w:r>
      <w:r w:rsidR="002A6510">
        <w:t xml:space="preserve">Figure </w:t>
      </w:r>
      <w:r w:rsidR="002A6510">
        <w:rPr>
          <w:noProof/>
        </w:rPr>
        <w:t>3</w:t>
      </w:r>
      <w:r w:rsidR="002A6510">
        <w:fldChar w:fldCharType="end"/>
      </w:r>
      <w:r>
        <w:t xml:space="preserve">. In </w:t>
      </w:r>
      <w:r>
        <w:fldChar w:fldCharType="begin"/>
      </w:r>
      <w:r>
        <w:instrText xml:space="preserve"> REF _Ref52376468 \h </w:instrText>
      </w:r>
      <w:r>
        <w:fldChar w:fldCharType="separate"/>
      </w:r>
      <w:r>
        <w:t xml:space="preserve">Figure </w:t>
      </w:r>
      <w:r>
        <w:rPr>
          <w:noProof/>
        </w:rPr>
        <w:t>1</w:t>
      </w:r>
      <w:r>
        <w:fldChar w:fldCharType="end"/>
      </w:r>
      <w:r>
        <w:t xml:space="preserve">, a </w:t>
      </w:r>
      <w:r w:rsidR="002524A7">
        <w:t xml:space="preserve">large </w:t>
      </w:r>
      <w:r>
        <w:t>DUT is shown with the geom</w:t>
      </w:r>
      <w:r w:rsidR="00C97ADA">
        <w:t xml:space="preserve">etric centre aligned with the centre of the </w:t>
      </w:r>
      <w:r w:rsidR="002524A7">
        <w:t xml:space="preserve">30cm </w:t>
      </w:r>
      <w:r w:rsidR="00C97ADA">
        <w:t xml:space="preserve">QZ. Regardless of where the antenna(s) of the DUT are located, the fact that portions of the DUT extend beyond the 30cm QZ would prevent this DUT to be tested in a system in a system with a 30cm QZ based on the current definition of the quiet zone, per B.2.2.2 of </w:t>
      </w:r>
      <w:r w:rsidR="00C97ADA">
        <w:fldChar w:fldCharType="begin"/>
      </w:r>
      <w:r w:rsidR="00C97ADA">
        <w:instrText xml:space="preserve"> REF _Ref51771163 \w \h </w:instrText>
      </w:r>
      <w:r w:rsidR="00C97ADA">
        <w:fldChar w:fldCharType="separate"/>
      </w:r>
      <w:r w:rsidR="00C97ADA">
        <w:t>[1]</w:t>
      </w:r>
      <w:r w:rsidR="00C97ADA">
        <w:fldChar w:fldCharType="end"/>
      </w:r>
    </w:p>
    <w:tbl>
      <w:tblPr>
        <w:tblStyle w:val="TableGrid"/>
        <w:tblW w:w="0" w:type="auto"/>
        <w:tblLook w:val="04A0" w:firstRow="1" w:lastRow="0" w:firstColumn="1" w:lastColumn="0" w:noHBand="0" w:noVBand="1"/>
      </w:tblPr>
      <w:tblGrid>
        <w:gridCol w:w="9631"/>
      </w:tblGrid>
      <w:tr w:rsidR="00C97ADA" w14:paraId="1953CE6B" w14:textId="77777777" w:rsidTr="00C97ADA">
        <w:tc>
          <w:tcPr>
            <w:tcW w:w="9631" w:type="dxa"/>
          </w:tcPr>
          <w:p w14:paraId="0A48AE5C" w14:textId="77777777" w:rsidR="00C97ADA" w:rsidRDefault="00C97ADA" w:rsidP="00C97ADA">
            <w:pPr>
              <w:pStyle w:val="Default"/>
              <w:rPr>
                <w:sz w:val="28"/>
                <w:szCs w:val="28"/>
              </w:rPr>
            </w:pPr>
            <w:r>
              <w:rPr>
                <w:sz w:val="28"/>
                <w:szCs w:val="28"/>
              </w:rPr>
              <w:t xml:space="preserve">B.2.2.2 Quiet zone dimension </w:t>
            </w:r>
          </w:p>
          <w:p w14:paraId="1728F536" w14:textId="2155AABC" w:rsidR="00C97ADA" w:rsidRPr="00C97ADA" w:rsidRDefault="00C97ADA" w:rsidP="00C97ADA">
            <w:pPr>
              <w:rPr>
                <w:highlight w:val="yellow"/>
              </w:rPr>
            </w:pPr>
            <w:r w:rsidRPr="00C97ADA">
              <w:rPr>
                <w:highlight w:val="yellow"/>
              </w:rPr>
              <w:t>The quiet zone shall be large enough to fully contain the DUT.</w:t>
            </w:r>
          </w:p>
        </w:tc>
      </w:tr>
    </w:tbl>
    <w:p w14:paraId="4B07BF58" w14:textId="2E8AC7AE" w:rsidR="00C97ADA" w:rsidRDefault="002A6510" w:rsidP="001B2645">
      <w:r>
        <w:t xml:space="preserve">For the proposed concept in this contribution, a </w:t>
      </w:r>
      <w:r w:rsidR="00387178">
        <w:t xml:space="preserve">system with a </w:t>
      </w:r>
      <w:r>
        <w:t xml:space="preserve">40cm QZ </w:t>
      </w:r>
      <w:r w:rsidR="002524A7">
        <w:t xml:space="preserve">would be used for larger device like the one used in the example figures. In </w:t>
      </w:r>
      <w:r w:rsidR="002524A7">
        <w:fldChar w:fldCharType="begin"/>
      </w:r>
      <w:r w:rsidR="002524A7">
        <w:instrText xml:space="preserve"> REF _Ref52456259 \h </w:instrText>
      </w:r>
      <w:r w:rsidR="002524A7">
        <w:fldChar w:fldCharType="separate"/>
      </w:r>
      <w:r w:rsidR="002524A7">
        <w:t xml:space="preserve">Figure </w:t>
      </w:r>
      <w:r w:rsidR="002524A7">
        <w:rPr>
          <w:noProof/>
        </w:rPr>
        <w:t>2</w:t>
      </w:r>
      <w:r w:rsidR="002524A7">
        <w:fldChar w:fldCharType="end"/>
      </w:r>
      <w:r w:rsidR="002524A7">
        <w:t>, the DUT is shown with its</w:t>
      </w:r>
      <w:r w:rsidR="00CC4493">
        <w:t xml:space="preserve"> </w:t>
      </w:r>
      <w:r w:rsidR="002524A7">
        <w:t>geometric centre</w:t>
      </w:r>
      <w:r w:rsidR="00CC4493">
        <w:t xml:space="preserve"> aligned with the centre of the QZ (black box)</w:t>
      </w:r>
      <w:r w:rsidR="00387178">
        <w:t xml:space="preserve">. Clearly, for the example antenna locations and placements within the device, the black-box approach does not allow the antennas to be fully contained by this QZ size. However, for the grey-box approach illustrated in </w:t>
      </w:r>
      <w:r w:rsidR="00387178">
        <w:fldChar w:fldCharType="begin"/>
      </w:r>
      <w:r w:rsidR="00387178">
        <w:instrText xml:space="preserve"> REF _Ref52378144 \h </w:instrText>
      </w:r>
      <w:r w:rsidR="00387178">
        <w:fldChar w:fldCharType="separate"/>
      </w:r>
      <w:r w:rsidR="00387178">
        <w:t xml:space="preserve">Figure </w:t>
      </w:r>
      <w:r w:rsidR="00387178">
        <w:rPr>
          <w:noProof/>
        </w:rPr>
        <w:t>3</w:t>
      </w:r>
      <w:r w:rsidR="00387178">
        <w:fldChar w:fldCharType="end"/>
      </w:r>
      <w:r w:rsidR="00387178">
        <w:t xml:space="preserve"> where a reference point on the DUT, shown schematically with the red x which was chosen to be the geometric centre of the outermost dimensions of the two antenna arrays, is aligned with the centre of the QZ, both antennas are well contained within the QZ. </w:t>
      </w:r>
      <w:r w:rsidR="00AD36AA">
        <w:t xml:space="preserve">It should be noted that devices that can be contained completely within the 40cm quiet zone can continue to be tested using the black box approach and without a vendor declaration. </w:t>
      </w:r>
    </w:p>
    <w:p w14:paraId="259A9BEA" w14:textId="0AD0A91C" w:rsidR="00E671A1" w:rsidRDefault="00C97ADA" w:rsidP="00C97ADA">
      <w:pPr>
        <w:pStyle w:val="Caption"/>
        <w:spacing w:before="0" w:after="0"/>
        <w:jc w:val="center"/>
      </w:pPr>
      <w:r>
        <w:rPr>
          <w:noProof/>
        </w:rPr>
        <w:lastRenderedPageBreak/>
        <w:drawing>
          <wp:inline distT="0" distB="0" distL="0" distR="0" wp14:anchorId="2E67DA77" wp14:editId="1A053F62">
            <wp:extent cx="2743200" cy="3133004"/>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743200" cy="3133004"/>
                    </a:xfrm>
                    <a:prstGeom prst="rect">
                      <a:avLst/>
                    </a:prstGeom>
                    <a:noFill/>
                  </pic:spPr>
                </pic:pic>
              </a:graphicData>
            </a:graphic>
          </wp:inline>
        </w:drawing>
      </w:r>
    </w:p>
    <w:p w14:paraId="75E52881" w14:textId="7D54557C" w:rsidR="00E671A1" w:rsidRDefault="00E671A1" w:rsidP="00E671A1">
      <w:pPr>
        <w:pStyle w:val="Caption"/>
        <w:jc w:val="center"/>
      </w:pPr>
      <w:bookmarkStart w:id="7" w:name="_Ref52376468"/>
      <w:r>
        <w:t xml:space="preserve">Figure </w:t>
      </w:r>
      <w:r>
        <w:fldChar w:fldCharType="begin"/>
      </w:r>
      <w:r>
        <w:instrText xml:space="preserve"> SEQ Figure \* ARABIC </w:instrText>
      </w:r>
      <w:r>
        <w:fldChar w:fldCharType="separate"/>
      </w:r>
      <w:r>
        <w:rPr>
          <w:noProof/>
        </w:rPr>
        <w:t>1</w:t>
      </w:r>
      <w:r>
        <w:fldChar w:fldCharType="end"/>
      </w:r>
      <w:bookmarkEnd w:id="7"/>
      <w:r>
        <w:t>: Black-Box Approach for a DUT exceeding the 30cm QZ size</w:t>
      </w:r>
    </w:p>
    <w:p w14:paraId="276063BE" w14:textId="37DF46DE" w:rsidR="00F304D6" w:rsidRDefault="00F304D6" w:rsidP="00F304D6"/>
    <w:p w14:paraId="6D55E05D" w14:textId="41331BCB" w:rsidR="00F304D6" w:rsidRDefault="002524A7" w:rsidP="00F304D6">
      <w:pPr>
        <w:pStyle w:val="Caption"/>
        <w:spacing w:before="0" w:after="0"/>
        <w:jc w:val="center"/>
      </w:pPr>
      <w:r>
        <w:rPr>
          <w:noProof/>
        </w:rPr>
        <w:drawing>
          <wp:inline distT="0" distB="0" distL="0" distR="0" wp14:anchorId="2F0790CC" wp14:editId="75E3BEC6">
            <wp:extent cx="2834640" cy="3316780"/>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34640" cy="3316780"/>
                    </a:xfrm>
                    <a:prstGeom prst="rect">
                      <a:avLst/>
                    </a:prstGeom>
                    <a:noFill/>
                  </pic:spPr>
                </pic:pic>
              </a:graphicData>
            </a:graphic>
          </wp:inline>
        </w:drawing>
      </w:r>
    </w:p>
    <w:p w14:paraId="128D2E59" w14:textId="4E9A174E" w:rsidR="00F304D6" w:rsidRPr="0062332A" w:rsidRDefault="00F304D6" w:rsidP="00F304D6">
      <w:pPr>
        <w:pStyle w:val="Caption"/>
        <w:jc w:val="center"/>
      </w:pPr>
      <w:bookmarkStart w:id="8" w:name="_Ref52456259"/>
      <w:r>
        <w:t xml:space="preserve">Figure </w:t>
      </w:r>
      <w:r>
        <w:fldChar w:fldCharType="begin"/>
      </w:r>
      <w:r>
        <w:instrText xml:space="preserve"> SEQ Figure \* ARABIC </w:instrText>
      </w:r>
      <w:r>
        <w:fldChar w:fldCharType="separate"/>
      </w:r>
      <w:r>
        <w:rPr>
          <w:noProof/>
        </w:rPr>
        <w:t>2</w:t>
      </w:r>
      <w:r>
        <w:fldChar w:fldCharType="end"/>
      </w:r>
      <w:bookmarkEnd w:id="8"/>
      <w:r>
        <w:t xml:space="preserve">: </w:t>
      </w:r>
      <w:bookmarkStart w:id="9" w:name="_Ref52456252"/>
      <w:r>
        <w:t xml:space="preserve">Black-Box Approach for a DUT </w:t>
      </w:r>
      <w:r w:rsidR="002A6510">
        <w:t>in system with 40cm QZ</w:t>
      </w:r>
      <w:bookmarkEnd w:id="9"/>
    </w:p>
    <w:p w14:paraId="09EA8BE9" w14:textId="0A04C123" w:rsidR="002A6510" w:rsidRDefault="00DF0467" w:rsidP="002A6510">
      <w:pPr>
        <w:pStyle w:val="Caption"/>
        <w:spacing w:before="0" w:after="0"/>
        <w:jc w:val="center"/>
      </w:pPr>
      <w:r>
        <w:rPr>
          <w:noProof/>
        </w:rPr>
        <w:lastRenderedPageBreak/>
        <w:drawing>
          <wp:inline distT="0" distB="0" distL="0" distR="0" wp14:anchorId="58D2D5DF" wp14:editId="4CA0FCA4">
            <wp:extent cx="3077195" cy="3653674"/>
            <wp:effectExtent l="0" t="0" r="0" b="444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080069" cy="3657086"/>
                    </a:xfrm>
                    <a:prstGeom prst="rect">
                      <a:avLst/>
                    </a:prstGeom>
                    <a:noFill/>
                  </pic:spPr>
                </pic:pic>
              </a:graphicData>
            </a:graphic>
          </wp:inline>
        </w:drawing>
      </w:r>
    </w:p>
    <w:p w14:paraId="06062B6F" w14:textId="3641E13C" w:rsidR="002A6510" w:rsidRPr="0062332A" w:rsidRDefault="002A6510" w:rsidP="002A6510">
      <w:pPr>
        <w:pStyle w:val="Caption"/>
        <w:jc w:val="center"/>
      </w:pPr>
      <w:bookmarkStart w:id="10" w:name="_Ref52378144"/>
      <w:r>
        <w:t xml:space="preserve">Figure </w:t>
      </w:r>
      <w:r>
        <w:fldChar w:fldCharType="begin"/>
      </w:r>
      <w:r>
        <w:instrText xml:space="preserve"> SEQ Figure \* ARABIC </w:instrText>
      </w:r>
      <w:r>
        <w:fldChar w:fldCharType="separate"/>
      </w:r>
      <w:r>
        <w:rPr>
          <w:noProof/>
        </w:rPr>
        <w:t>3</w:t>
      </w:r>
      <w:r>
        <w:fldChar w:fldCharType="end"/>
      </w:r>
      <w:bookmarkEnd w:id="10"/>
      <w:r>
        <w:t xml:space="preserve">: </w:t>
      </w:r>
      <w:r w:rsidR="001D17D1">
        <w:t>Grey</w:t>
      </w:r>
      <w:r>
        <w:t>-Box Approach for a DUT in system with 40cm QZ</w:t>
      </w:r>
    </w:p>
    <w:p w14:paraId="0BAE7A22" w14:textId="77777777" w:rsidR="00F304D6" w:rsidRPr="00F304D6" w:rsidRDefault="00F304D6" w:rsidP="00F304D6"/>
    <w:p w14:paraId="1ACAC137" w14:textId="13148E85" w:rsidR="001B2645" w:rsidRPr="0062332A" w:rsidRDefault="00D7501A" w:rsidP="00D7501A">
      <w:pPr>
        <w:pStyle w:val="Caption"/>
      </w:pPr>
      <w:bookmarkStart w:id="11" w:name="_Ref52472914"/>
      <w:bookmarkStart w:id="12" w:name="_Ref46927696"/>
      <w:r>
        <w:t xml:space="preserve">Proposal </w:t>
      </w:r>
      <w:r>
        <w:fldChar w:fldCharType="begin"/>
      </w:r>
      <w:r>
        <w:instrText xml:space="preserve"> SEQ Proposal \* ARABIC </w:instrText>
      </w:r>
      <w:r>
        <w:fldChar w:fldCharType="separate"/>
      </w:r>
      <w:r>
        <w:rPr>
          <w:noProof/>
        </w:rPr>
        <w:t>1</w:t>
      </w:r>
      <w:r>
        <w:fldChar w:fldCharType="end"/>
      </w:r>
      <w:r>
        <w:t xml:space="preserve">: Consider the </w:t>
      </w:r>
      <w:r w:rsidR="001B2645" w:rsidRPr="0062332A">
        <w:t xml:space="preserve">grey-box approach, i.e., declaration of a reference point to be aligned with the centre of the quiet zone and the maximum antenna panel displacement from this reference point, </w:t>
      </w:r>
      <w:r>
        <w:t>for devices that do not fit into the existing 30cm quiet zones.</w:t>
      </w:r>
      <w:bookmarkEnd w:id="11"/>
      <w:r>
        <w:t xml:space="preserve"> </w:t>
      </w:r>
      <w:bookmarkEnd w:id="12"/>
    </w:p>
    <w:p w14:paraId="52360C1D" w14:textId="44757750" w:rsidR="001B2645" w:rsidRPr="0062332A" w:rsidRDefault="00D520D4" w:rsidP="001B2645">
      <w:r w:rsidRPr="0062332A">
        <w:t>It seems unlikely that OEMs will separate antenna panels by distances close to the maximum diameter for large devices, due the large cable/insertion losses large antenna separations would yield.</w:t>
      </w:r>
      <w:r>
        <w:t xml:space="preserve"> </w:t>
      </w:r>
      <w:r w:rsidR="00D7501A">
        <w:t xml:space="preserve">Based on </w:t>
      </w:r>
      <w:r>
        <w:t xml:space="preserve">preliminary </w:t>
      </w:r>
      <w:r w:rsidR="00D7501A">
        <w:t>discussions held during RAN5#88-e, it is proposed to define the grey-box with a 40cm diameter spherical quiet zone</w:t>
      </w:r>
      <w:r>
        <w:t xml:space="preserve">. </w:t>
      </w:r>
    </w:p>
    <w:p w14:paraId="7E7B9A6F" w14:textId="05FD7D76" w:rsidR="001B2645" w:rsidRDefault="001B2645" w:rsidP="001B2645">
      <w:pPr>
        <w:pStyle w:val="Caption"/>
      </w:pPr>
      <w:bookmarkStart w:id="13" w:name="_Ref46927698"/>
      <w:bookmarkStart w:id="14" w:name="_Ref48732710"/>
      <w:bookmarkStart w:id="15" w:name="_Ref52472915"/>
      <w:r w:rsidRPr="0062332A">
        <w:t xml:space="preserve">Proposal </w:t>
      </w:r>
      <w:r w:rsidRPr="0062332A">
        <w:fldChar w:fldCharType="begin"/>
      </w:r>
      <w:r w:rsidRPr="0062332A">
        <w:instrText xml:space="preserve"> SEQ Proposal \* ARABIC </w:instrText>
      </w:r>
      <w:r w:rsidRPr="0062332A">
        <w:fldChar w:fldCharType="separate"/>
      </w:r>
      <w:r w:rsidR="00D7501A">
        <w:rPr>
          <w:noProof/>
        </w:rPr>
        <w:t>2</w:t>
      </w:r>
      <w:r w:rsidRPr="0062332A">
        <w:fldChar w:fldCharType="end"/>
      </w:r>
      <w:r w:rsidRPr="0062332A">
        <w:t xml:space="preserve">: </w:t>
      </w:r>
      <w:r w:rsidR="00D520D4">
        <w:t>Pending approval from OEMs, define the next larger quiet zone</w:t>
      </w:r>
      <w:r w:rsidR="002F3283">
        <w:t xml:space="preserve"> for PC1 and PC3 devices that cannot be contained within a </w:t>
      </w:r>
      <w:r w:rsidRPr="0062332A">
        <w:t xml:space="preserve">30cm </w:t>
      </w:r>
      <w:r w:rsidR="002F3283">
        <w:t xml:space="preserve">QZ </w:t>
      </w:r>
      <w:bookmarkEnd w:id="13"/>
      <w:bookmarkEnd w:id="14"/>
      <w:r w:rsidR="002F3283">
        <w:t>to be</w:t>
      </w:r>
      <w:r w:rsidR="00D520D4">
        <w:t xml:space="preserve"> 40cm based on the grey-box approach</w:t>
      </w:r>
      <w:bookmarkEnd w:id="15"/>
    </w:p>
    <w:p w14:paraId="0BE6085B" w14:textId="454FE9F9" w:rsidR="00AC5011" w:rsidRPr="0010125F" w:rsidRDefault="00075120" w:rsidP="00075120">
      <w:r w:rsidRPr="0010125F">
        <w:t>Based on a preliminary QoQZ MU investigation of existing systems support</w:t>
      </w:r>
      <w:r w:rsidR="00AC5011" w:rsidRPr="0010125F">
        <w:t>ing</w:t>
      </w:r>
      <w:r w:rsidRPr="0010125F">
        <w:t xml:space="preserve"> the 30cm QZ</w:t>
      </w:r>
      <w:r w:rsidR="0013528D" w:rsidRPr="0010125F">
        <w:t>,</w:t>
      </w:r>
      <w:r w:rsidR="00AC5011" w:rsidRPr="0010125F">
        <w:t xml:space="preserve"> for an extended QZ size of 40cm </w:t>
      </w:r>
      <w:r w:rsidR="0013528D" w:rsidRPr="0010125F">
        <w:t xml:space="preserve">in diameter the increase in QoQZ MU </w:t>
      </w:r>
      <w:r w:rsidR="00AC5011" w:rsidRPr="0010125F">
        <w:t>is ~0.1-0.2dB max without an increase of any other MU</w:t>
      </w:r>
      <w:r w:rsidR="0013528D" w:rsidRPr="0010125F">
        <w:t>s</w:t>
      </w:r>
      <w:r w:rsidR="00AC5011" w:rsidRPr="0010125F">
        <w:t xml:space="preserve"> or degradation of dynamic range. A max</w:t>
      </w:r>
      <w:r w:rsidR="0013528D" w:rsidRPr="0010125F">
        <w:t>imum</w:t>
      </w:r>
      <w:r w:rsidR="00AC5011" w:rsidRPr="0010125F">
        <w:t xml:space="preserve"> increase of 0.2dB in QoQZ MU would correspond to an increase of MOP and REFSENS Maximum Test System </w:t>
      </w:r>
      <w:r w:rsidR="0013528D" w:rsidRPr="0010125F">
        <w:t>Uncertainty (MTSU) o</w:t>
      </w:r>
      <w:r w:rsidR="00D217AF">
        <w:t>f</w:t>
      </w:r>
      <w:bookmarkStart w:id="16" w:name="_GoBack"/>
      <w:bookmarkEnd w:id="16"/>
      <w:r w:rsidR="0013528D" w:rsidRPr="0010125F">
        <w:t xml:space="preserve"> 0.12dB. </w:t>
      </w:r>
    </w:p>
    <w:p w14:paraId="3FD11DE6" w14:textId="60F641A8" w:rsidR="00075120" w:rsidRPr="0010125F" w:rsidRDefault="00AC5011" w:rsidP="00AC5011">
      <w:pPr>
        <w:pStyle w:val="Caption"/>
      </w:pPr>
      <w:r w:rsidRPr="0010125F">
        <w:t xml:space="preserve">Observation </w:t>
      </w:r>
      <w:r w:rsidRPr="0010125F">
        <w:fldChar w:fldCharType="begin"/>
      </w:r>
      <w:r w:rsidRPr="0010125F">
        <w:instrText xml:space="preserve"> SEQ Observation \* ARABIC </w:instrText>
      </w:r>
      <w:r w:rsidRPr="0010125F">
        <w:fldChar w:fldCharType="separate"/>
      </w:r>
      <w:r w:rsidRPr="0010125F">
        <w:rPr>
          <w:noProof/>
        </w:rPr>
        <w:t>3</w:t>
      </w:r>
      <w:r w:rsidRPr="0010125F">
        <w:fldChar w:fldCharType="end"/>
      </w:r>
      <w:r w:rsidRPr="0010125F">
        <w:t xml:space="preserve">: Existing 30cm QZ systems can be extended to support a 40cm QZ with a max increase of the QoQZ MU of 0.2dB </w:t>
      </w:r>
      <w:r w:rsidR="0013528D" w:rsidRPr="0010125F">
        <w:t>without an increase of any other MUs or degradation of dynamic range.</w:t>
      </w:r>
    </w:p>
    <w:p w14:paraId="66E095B9" w14:textId="1F9267FE" w:rsidR="001B2645" w:rsidRPr="0062332A" w:rsidRDefault="001B2645" w:rsidP="001B2645">
      <w:r w:rsidRPr="0062332A">
        <w:t>In case PC3 and PC1 devices get introduced with antenna separation distances that exceed the largest quiet zone, 100% test coverage could be guaranteed various ways:</w:t>
      </w:r>
    </w:p>
    <w:p w14:paraId="50DCCEB8" w14:textId="77777777" w:rsidR="001B2645" w:rsidRPr="0062332A" w:rsidRDefault="001B2645" w:rsidP="001B2645">
      <w:pPr>
        <w:pStyle w:val="ListParagraph"/>
        <w:numPr>
          <w:ilvl w:val="0"/>
          <w:numId w:val="39"/>
        </w:numPr>
        <w:rPr>
          <w:rFonts w:ascii="Times New Roman" w:eastAsia="Malgun Gothic" w:hAnsi="Times New Roman"/>
          <w:sz w:val="20"/>
          <w:szCs w:val="20"/>
          <w:lang w:val="en-GB"/>
        </w:rPr>
      </w:pPr>
      <w:r w:rsidRPr="0062332A">
        <w:rPr>
          <w:rFonts w:ascii="Times New Roman" w:eastAsia="Malgun Gothic" w:hAnsi="Times New Roman"/>
          <w:sz w:val="20"/>
          <w:szCs w:val="20"/>
          <w:lang w:val="en-GB"/>
        </w:rPr>
        <w:t>Introduction of white box testing, i.e., declaration of exact antenna locations and the applicability of active antenna panels, which would allow active antenna arrays to be placed within the largest quiet zone</w:t>
      </w:r>
    </w:p>
    <w:p w14:paraId="41F353FE" w14:textId="77777777" w:rsidR="001B2645" w:rsidRPr="0062332A" w:rsidRDefault="001B2645" w:rsidP="001B2645">
      <w:pPr>
        <w:pStyle w:val="ListParagraph"/>
        <w:numPr>
          <w:ilvl w:val="0"/>
          <w:numId w:val="39"/>
        </w:numPr>
        <w:rPr>
          <w:rFonts w:ascii="Times New Roman" w:eastAsia="Malgun Gothic" w:hAnsi="Times New Roman"/>
          <w:sz w:val="20"/>
          <w:szCs w:val="20"/>
          <w:lang w:val="en-GB"/>
        </w:rPr>
      </w:pPr>
      <w:r w:rsidRPr="0062332A">
        <w:rPr>
          <w:rFonts w:ascii="Times New Roman" w:eastAsia="Malgun Gothic" w:hAnsi="Times New Roman"/>
          <w:sz w:val="20"/>
          <w:szCs w:val="20"/>
          <w:lang w:val="en-GB"/>
        </w:rPr>
        <w:t>Definition of larger quiet zone</w:t>
      </w:r>
    </w:p>
    <w:p w14:paraId="2EEA0760" w14:textId="77777777" w:rsidR="001B2645" w:rsidRPr="0062332A" w:rsidRDefault="001B2645" w:rsidP="001B2645">
      <w:pPr>
        <w:pStyle w:val="ListParagraph"/>
        <w:numPr>
          <w:ilvl w:val="0"/>
          <w:numId w:val="39"/>
        </w:numPr>
        <w:rPr>
          <w:rFonts w:ascii="Times New Roman" w:eastAsia="Malgun Gothic" w:hAnsi="Times New Roman"/>
          <w:sz w:val="20"/>
          <w:szCs w:val="20"/>
          <w:lang w:val="en-GB"/>
        </w:rPr>
      </w:pPr>
      <w:r w:rsidRPr="0062332A">
        <w:rPr>
          <w:rFonts w:ascii="Times New Roman" w:eastAsia="Malgun Gothic" w:hAnsi="Times New Roman"/>
          <w:sz w:val="20"/>
          <w:szCs w:val="20"/>
          <w:lang w:val="en-GB"/>
        </w:rPr>
        <w:t>Definition of non-spherical quiet zone, e.g., cylindrical with device positioning declaration that would guarantee the active antenna panels are always enclosed.</w:t>
      </w:r>
    </w:p>
    <w:p w14:paraId="6329A804" w14:textId="572745A0" w:rsidR="001B2645" w:rsidRPr="0062332A" w:rsidRDefault="00B910BC" w:rsidP="001B2645">
      <w:r>
        <w:t>A</w:t>
      </w:r>
      <w:r w:rsidR="001B2645" w:rsidRPr="0062332A">
        <w:t xml:space="preserve">s a last resort, waiving of conformance testing should be considered for PC3 and PC1 devices with antenna separations (grey box) larger than the </w:t>
      </w:r>
      <w:r w:rsidR="00FB725E">
        <w:t xml:space="preserve">a specific </w:t>
      </w:r>
      <w:r w:rsidR="001B2645" w:rsidRPr="0062332A">
        <w:t>quiet zone</w:t>
      </w:r>
      <w:r w:rsidR="00FB725E">
        <w:t>/antenna separation</w:t>
      </w:r>
      <w:r w:rsidR="001B2645" w:rsidRPr="0062332A">
        <w:t xml:space="preserve">. </w:t>
      </w:r>
    </w:p>
    <w:p w14:paraId="501F9FDB" w14:textId="77777777" w:rsidR="001B2645" w:rsidRPr="0062332A" w:rsidRDefault="001B2645" w:rsidP="001B2645">
      <w:pPr>
        <w:pStyle w:val="Heading1"/>
        <w:ind w:left="567" w:hanging="567"/>
      </w:pPr>
      <w:r w:rsidRPr="0062332A">
        <w:lastRenderedPageBreak/>
        <w:t>Conclusion</w:t>
      </w:r>
    </w:p>
    <w:p w14:paraId="68447ECE" w14:textId="6C3B3E56" w:rsidR="001B2645" w:rsidRDefault="001B2645" w:rsidP="001B2645">
      <w:r w:rsidRPr="0062332A">
        <w:t>The following observations and proposals were made in this contribution</w:t>
      </w:r>
    </w:p>
    <w:p w14:paraId="37D34E06" w14:textId="3942DEDD" w:rsidR="006005B2" w:rsidRPr="006005B2" w:rsidRDefault="006005B2" w:rsidP="001B2645">
      <w:pPr>
        <w:rPr>
          <w:b/>
          <w:bCs/>
        </w:rPr>
      </w:pPr>
      <w:r w:rsidRPr="006005B2">
        <w:rPr>
          <w:b/>
          <w:bCs/>
        </w:rPr>
        <w:fldChar w:fldCharType="begin"/>
      </w:r>
      <w:r w:rsidRPr="006005B2">
        <w:rPr>
          <w:b/>
          <w:bCs/>
        </w:rPr>
        <w:instrText xml:space="preserve"> REF _Ref52473293 \h </w:instrText>
      </w:r>
      <w:r>
        <w:rPr>
          <w:b/>
          <w:bCs/>
        </w:rPr>
        <w:instrText xml:space="preserve"> \* MERGEFORMAT </w:instrText>
      </w:r>
      <w:r w:rsidRPr="006005B2">
        <w:rPr>
          <w:b/>
          <w:bCs/>
        </w:rPr>
      </w:r>
      <w:r w:rsidRPr="006005B2">
        <w:rPr>
          <w:b/>
          <w:bCs/>
        </w:rPr>
        <w:fldChar w:fldCharType="separate"/>
      </w:r>
      <w:r w:rsidRPr="006005B2">
        <w:rPr>
          <w:b/>
          <w:bCs/>
        </w:rPr>
        <w:t xml:space="preserve">Observation </w:t>
      </w:r>
      <w:r w:rsidRPr="006005B2">
        <w:rPr>
          <w:b/>
          <w:bCs/>
          <w:noProof/>
        </w:rPr>
        <w:t>1</w:t>
      </w:r>
      <w:r w:rsidRPr="006005B2">
        <w:rPr>
          <w:b/>
          <w:bCs/>
        </w:rPr>
        <w:t>: Increasing the quiet zones and thus CATR reflectors generally leads to higher system losses and thus reduced dynamic range and therefore higher MUs</w:t>
      </w:r>
      <w:r w:rsidRPr="006005B2">
        <w:rPr>
          <w:b/>
          <w:bCs/>
        </w:rPr>
        <w:fldChar w:fldCharType="end"/>
      </w:r>
    </w:p>
    <w:p w14:paraId="43AABE93" w14:textId="556C852C" w:rsidR="006005B2" w:rsidRPr="006005B2" w:rsidRDefault="006005B2" w:rsidP="001B2645">
      <w:pPr>
        <w:rPr>
          <w:b/>
          <w:bCs/>
        </w:rPr>
      </w:pPr>
      <w:r w:rsidRPr="006005B2">
        <w:rPr>
          <w:b/>
          <w:bCs/>
        </w:rPr>
        <w:fldChar w:fldCharType="begin"/>
      </w:r>
      <w:r w:rsidRPr="006005B2">
        <w:rPr>
          <w:b/>
          <w:bCs/>
        </w:rPr>
        <w:instrText xml:space="preserve"> REF _Ref52472913 \h </w:instrText>
      </w:r>
      <w:r>
        <w:rPr>
          <w:b/>
          <w:bCs/>
        </w:rPr>
        <w:instrText xml:space="preserve"> \* MERGEFORMAT </w:instrText>
      </w:r>
      <w:r w:rsidRPr="006005B2">
        <w:rPr>
          <w:b/>
          <w:bCs/>
        </w:rPr>
      </w:r>
      <w:r w:rsidRPr="006005B2">
        <w:rPr>
          <w:b/>
          <w:bCs/>
        </w:rPr>
        <w:fldChar w:fldCharType="separate"/>
      </w:r>
      <w:r w:rsidRPr="006005B2">
        <w:rPr>
          <w:b/>
          <w:bCs/>
        </w:rPr>
        <w:t xml:space="preserve">Observation </w:t>
      </w:r>
      <w:r w:rsidRPr="006005B2">
        <w:rPr>
          <w:b/>
          <w:bCs/>
          <w:noProof/>
        </w:rPr>
        <w:t>2</w:t>
      </w:r>
      <w:r w:rsidRPr="006005B2">
        <w:rPr>
          <w:b/>
          <w:bCs/>
        </w:rPr>
        <w:t>: This contribution intends to address the quiet zone concept for devices that cannot fit into the existing 30cm quiet zone in the absence of OEM feedback on the maximum antenna separation.</w:t>
      </w:r>
      <w:r w:rsidRPr="006005B2">
        <w:rPr>
          <w:b/>
          <w:bCs/>
        </w:rPr>
        <w:fldChar w:fldCharType="end"/>
      </w:r>
    </w:p>
    <w:p w14:paraId="113D79FE" w14:textId="3F3DCE5D" w:rsidR="006005B2" w:rsidRPr="006005B2" w:rsidRDefault="006005B2" w:rsidP="001B2645">
      <w:pPr>
        <w:rPr>
          <w:b/>
          <w:bCs/>
        </w:rPr>
      </w:pPr>
      <w:r w:rsidRPr="006005B2">
        <w:rPr>
          <w:b/>
          <w:bCs/>
        </w:rPr>
        <w:fldChar w:fldCharType="begin"/>
      </w:r>
      <w:r w:rsidRPr="006005B2">
        <w:rPr>
          <w:b/>
          <w:bCs/>
        </w:rPr>
        <w:instrText xml:space="preserve"> REF _Ref52472914 \h </w:instrText>
      </w:r>
      <w:r>
        <w:rPr>
          <w:b/>
          <w:bCs/>
        </w:rPr>
        <w:instrText xml:space="preserve"> \* MERGEFORMAT </w:instrText>
      </w:r>
      <w:r w:rsidRPr="006005B2">
        <w:rPr>
          <w:b/>
          <w:bCs/>
        </w:rPr>
      </w:r>
      <w:r w:rsidRPr="006005B2">
        <w:rPr>
          <w:b/>
          <w:bCs/>
        </w:rPr>
        <w:fldChar w:fldCharType="separate"/>
      </w:r>
      <w:r w:rsidRPr="006005B2">
        <w:rPr>
          <w:b/>
          <w:bCs/>
        </w:rPr>
        <w:t xml:space="preserve">Proposal </w:t>
      </w:r>
      <w:r w:rsidRPr="006005B2">
        <w:rPr>
          <w:b/>
          <w:bCs/>
          <w:noProof/>
        </w:rPr>
        <w:t>1</w:t>
      </w:r>
      <w:r w:rsidRPr="006005B2">
        <w:rPr>
          <w:b/>
          <w:bCs/>
        </w:rPr>
        <w:t>: Consider the grey-box approach, i.e., declaration of a reference point to be aligned with the centre of the quiet zone and the maximum antenna panel displacement from this reference point, for devices that do not fit into the existing 30cm quiet zones.</w:t>
      </w:r>
      <w:r w:rsidRPr="006005B2">
        <w:rPr>
          <w:b/>
          <w:bCs/>
        </w:rPr>
        <w:fldChar w:fldCharType="end"/>
      </w:r>
    </w:p>
    <w:p w14:paraId="239C2BA3" w14:textId="23C4D0C9" w:rsidR="006005B2" w:rsidRPr="006005B2" w:rsidRDefault="006005B2" w:rsidP="001B2645">
      <w:pPr>
        <w:rPr>
          <w:b/>
          <w:bCs/>
        </w:rPr>
      </w:pPr>
      <w:r w:rsidRPr="006005B2">
        <w:rPr>
          <w:b/>
          <w:bCs/>
        </w:rPr>
        <w:fldChar w:fldCharType="begin"/>
      </w:r>
      <w:r w:rsidRPr="006005B2">
        <w:rPr>
          <w:b/>
          <w:bCs/>
        </w:rPr>
        <w:instrText xml:space="preserve"> REF _Ref52472915 \h </w:instrText>
      </w:r>
      <w:r>
        <w:rPr>
          <w:b/>
          <w:bCs/>
        </w:rPr>
        <w:instrText xml:space="preserve"> \* MERGEFORMAT </w:instrText>
      </w:r>
      <w:r w:rsidRPr="006005B2">
        <w:rPr>
          <w:b/>
          <w:bCs/>
        </w:rPr>
      </w:r>
      <w:r w:rsidRPr="006005B2">
        <w:rPr>
          <w:b/>
          <w:bCs/>
        </w:rPr>
        <w:fldChar w:fldCharType="separate"/>
      </w:r>
      <w:r w:rsidRPr="006005B2">
        <w:rPr>
          <w:b/>
          <w:bCs/>
        </w:rPr>
        <w:t xml:space="preserve">Proposal </w:t>
      </w:r>
      <w:r w:rsidRPr="006005B2">
        <w:rPr>
          <w:b/>
          <w:bCs/>
          <w:noProof/>
        </w:rPr>
        <w:t>2</w:t>
      </w:r>
      <w:r w:rsidRPr="006005B2">
        <w:rPr>
          <w:b/>
          <w:bCs/>
        </w:rPr>
        <w:t>: Pending approval from OEMs, define the next larger quiet zone for PC1 and PC3 devices that cannot be contained within a 30cm QZ to be 40cm based on the grey-box approach</w:t>
      </w:r>
      <w:r w:rsidRPr="006005B2">
        <w:rPr>
          <w:b/>
          <w:bCs/>
        </w:rPr>
        <w:fldChar w:fldCharType="end"/>
      </w:r>
    </w:p>
    <w:p w14:paraId="503C5BCB" w14:textId="77777777" w:rsidR="001B2645" w:rsidRPr="0062332A" w:rsidRDefault="001B2645" w:rsidP="001B2645">
      <w:pPr>
        <w:pStyle w:val="Heading1"/>
        <w:ind w:left="567" w:hanging="567"/>
      </w:pPr>
      <w:r w:rsidRPr="0062332A">
        <w:t>References</w:t>
      </w:r>
    </w:p>
    <w:p w14:paraId="4146AC3E" w14:textId="77777777" w:rsidR="00A65414" w:rsidRDefault="00A65414" w:rsidP="00A65414">
      <w:pPr>
        <w:pStyle w:val="ListParagraph"/>
        <w:widowControl w:val="0"/>
        <w:numPr>
          <w:ilvl w:val="0"/>
          <w:numId w:val="5"/>
        </w:numPr>
        <w:spacing w:after="0" w:line="240" w:lineRule="auto"/>
        <w:rPr>
          <w:rFonts w:ascii="Times New Roman" w:hAnsi="Times New Roman"/>
        </w:rPr>
      </w:pPr>
      <w:bookmarkStart w:id="17" w:name="_Ref51771163"/>
      <w:bookmarkStart w:id="18" w:name="_Ref46830964"/>
      <w:r w:rsidRPr="00151258">
        <w:rPr>
          <w:rFonts w:ascii="Times New Roman" w:hAnsi="Times New Roman"/>
        </w:rPr>
        <w:t>TS</w:t>
      </w:r>
      <w:r>
        <w:rPr>
          <w:rFonts w:ascii="Times New Roman" w:hAnsi="Times New Roman"/>
        </w:rPr>
        <w:t xml:space="preserve"> </w:t>
      </w:r>
      <w:r w:rsidRPr="00151258">
        <w:rPr>
          <w:rFonts w:ascii="Times New Roman" w:hAnsi="Times New Roman"/>
        </w:rPr>
        <w:t>38.508-1, User Equipment (UE) conformance specification; Part 1: Common test environment, V16.</w:t>
      </w:r>
      <w:r>
        <w:rPr>
          <w:rFonts w:ascii="Times New Roman" w:hAnsi="Times New Roman"/>
        </w:rPr>
        <w:t>4</w:t>
      </w:r>
      <w:r w:rsidRPr="00151258">
        <w:rPr>
          <w:rFonts w:ascii="Times New Roman" w:hAnsi="Times New Roman"/>
        </w:rPr>
        <w:t>.0 (20</w:t>
      </w:r>
      <w:r>
        <w:rPr>
          <w:rFonts w:ascii="Times New Roman" w:hAnsi="Times New Roman"/>
        </w:rPr>
        <w:t>20</w:t>
      </w:r>
      <w:r w:rsidRPr="00151258">
        <w:rPr>
          <w:rFonts w:ascii="Times New Roman" w:hAnsi="Times New Roman"/>
        </w:rPr>
        <w:t>-</w:t>
      </w:r>
      <w:r>
        <w:rPr>
          <w:rFonts w:ascii="Times New Roman" w:hAnsi="Times New Roman"/>
        </w:rPr>
        <w:t>06</w:t>
      </w:r>
      <w:r w:rsidRPr="00151258">
        <w:rPr>
          <w:rFonts w:ascii="Times New Roman" w:hAnsi="Times New Roman"/>
        </w:rPr>
        <w:t>)</w:t>
      </w:r>
      <w:bookmarkEnd w:id="17"/>
    </w:p>
    <w:p w14:paraId="7EA32E2F" w14:textId="77777777" w:rsidR="00A65414" w:rsidRPr="00151258" w:rsidRDefault="00A65414" w:rsidP="00A65414">
      <w:pPr>
        <w:pStyle w:val="ListParagraph"/>
        <w:widowControl w:val="0"/>
        <w:numPr>
          <w:ilvl w:val="0"/>
          <w:numId w:val="5"/>
        </w:numPr>
        <w:spacing w:after="0" w:line="240" w:lineRule="auto"/>
        <w:rPr>
          <w:rFonts w:ascii="Times New Roman" w:hAnsi="Times New Roman"/>
        </w:rPr>
      </w:pPr>
      <w:bookmarkStart w:id="19" w:name="_Ref51771165"/>
      <w:r w:rsidRPr="00151258">
        <w:rPr>
          <w:rFonts w:ascii="Times New Roman" w:hAnsi="Times New Roman"/>
        </w:rPr>
        <w:t>TS 38.521-2, User Equipment (UE) conformance specification; Radio transmission and reception; Part 2: Range 2 Standalone, V16.</w:t>
      </w:r>
      <w:r>
        <w:rPr>
          <w:rFonts w:ascii="Times New Roman" w:hAnsi="Times New Roman"/>
        </w:rPr>
        <w:t>4</w:t>
      </w:r>
      <w:r w:rsidRPr="00151258">
        <w:rPr>
          <w:rFonts w:ascii="Times New Roman" w:hAnsi="Times New Roman"/>
        </w:rPr>
        <w:t>0 (</w:t>
      </w:r>
      <w:r>
        <w:rPr>
          <w:rFonts w:ascii="Times New Roman" w:hAnsi="Times New Roman"/>
        </w:rPr>
        <w:t>2020-06</w:t>
      </w:r>
      <w:r w:rsidRPr="00151258">
        <w:rPr>
          <w:rFonts w:ascii="Times New Roman" w:hAnsi="Times New Roman"/>
        </w:rPr>
        <w:t>)</w:t>
      </w:r>
      <w:bookmarkEnd w:id="19"/>
    </w:p>
    <w:p w14:paraId="369A5E07" w14:textId="047F2509" w:rsidR="001B2645" w:rsidRPr="00B11FA7" w:rsidRDefault="001B2645" w:rsidP="00B11FA7">
      <w:pPr>
        <w:pStyle w:val="ListParagraph"/>
        <w:widowControl w:val="0"/>
        <w:numPr>
          <w:ilvl w:val="0"/>
          <w:numId w:val="5"/>
        </w:numPr>
        <w:spacing w:after="0" w:line="240" w:lineRule="auto"/>
        <w:rPr>
          <w:rFonts w:ascii="Times New Roman" w:hAnsi="Times New Roman"/>
        </w:rPr>
      </w:pPr>
      <w:bookmarkStart w:id="20" w:name="_Ref51771373"/>
      <w:r w:rsidRPr="00B11FA7">
        <w:rPr>
          <w:rFonts w:ascii="Times New Roman" w:hAnsi="Times New Roman"/>
        </w:rPr>
        <w:t>R5-198262, On Larger Quiet Zone Sizes, Keysight Technologies, 3GPP TSG-RAN WG5 #85, November 2019</w:t>
      </w:r>
      <w:bookmarkEnd w:id="18"/>
      <w:bookmarkEnd w:id="20"/>
    </w:p>
    <w:p w14:paraId="5B15FFDE" w14:textId="4FFFB713" w:rsidR="001B2645" w:rsidRPr="00B11FA7" w:rsidRDefault="001B2645" w:rsidP="00B11FA7">
      <w:pPr>
        <w:pStyle w:val="ListParagraph"/>
        <w:widowControl w:val="0"/>
        <w:numPr>
          <w:ilvl w:val="0"/>
          <w:numId w:val="5"/>
        </w:numPr>
        <w:spacing w:after="0" w:line="240" w:lineRule="auto"/>
        <w:rPr>
          <w:rFonts w:ascii="Times New Roman" w:hAnsi="Times New Roman"/>
        </w:rPr>
      </w:pPr>
      <w:bookmarkStart w:id="21" w:name="_Ref46830966"/>
      <w:r w:rsidRPr="00B11FA7">
        <w:rPr>
          <w:rFonts w:ascii="Times New Roman" w:hAnsi="Times New Roman"/>
        </w:rPr>
        <w:t>R5-202082, Discussion on size of Quiet Zone above 30cm, Rohde &amp; Schwarz, 3GPP TSG RAN</w:t>
      </w:r>
      <w:r w:rsidR="00B906D3">
        <w:rPr>
          <w:rFonts w:ascii="Times New Roman" w:hAnsi="Times New Roman"/>
        </w:rPr>
        <w:t>5</w:t>
      </w:r>
      <w:r w:rsidRPr="00B11FA7">
        <w:rPr>
          <w:rFonts w:ascii="Times New Roman" w:hAnsi="Times New Roman"/>
        </w:rPr>
        <w:t xml:space="preserve"> Meeting #87-e, May 2020</w:t>
      </w:r>
      <w:bookmarkEnd w:id="21"/>
      <w:r w:rsidRPr="00B11FA7">
        <w:rPr>
          <w:rFonts w:ascii="Times New Roman" w:hAnsi="Times New Roman"/>
        </w:rPr>
        <w:t xml:space="preserve"> </w:t>
      </w:r>
    </w:p>
    <w:p w14:paraId="67460DA4" w14:textId="23DFEA50" w:rsidR="00B11FA7" w:rsidRPr="00B11FA7" w:rsidRDefault="00B11FA7" w:rsidP="00B11FA7">
      <w:pPr>
        <w:pStyle w:val="ListParagraph"/>
        <w:widowControl w:val="0"/>
        <w:numPr>
          <w:ilvl w:val="0"/>
          <w:numId w:val="5"/>
        </w:numPr>
        <w:spacing w:after="0" w:line="240" w:lineRule="auto"/>
        <w:rPr>
          <w:rFonts w:ascii="Times New Roman" w:hAnsi="Times New Roman"/>
        </w:rPr>
      </w:pPr>
      <w:bookmarkStart w:id="22" w:name="_Ref51771382"/>
      <w:r w:rsidRPr="00B11FA7">
        <w:rPr>
          <w:rFonts w:ascii="Times New Roman" w:hAnsi="Times New Roman"/>
        </w:rPr>
        <w:t>R5-204747, On Larger Quiet Zone Sizes, Keysight Technologies, 3GPP TSG-RAN5 Meeting #88-e, August 2020</w:t>
      </w:r>
      <w:bookmarkEnd w:id="22"/>
    </w:p>
    <w:p w14:paraId="602CB502" w14:textId="11D554CC" w:rsidR="00B11FA7" w:rsidRPr="0010125F" w:rsidRDefault="00B11FA7" w:rsidP="0010125F">
      <w:pPr>
        <w:pStyle w:val="ListParagraph"/>
        <w:widowControl w:val="0"/>
        <w:numPr>
          <w:ilvl w:val="0"/>
          <w:numId w:val="5"/>
        </w:numPr>
        <w:spacing w:after="0" w:line="240" w:lineRule="auto"/>
        <w:rPr>
          <w:rFonts w:ascii="Times New Roman" w:hAnsi="Times New Roman"/>
        </w:rPr>
      </w:pPr>
      <w:bookmarkStart w:id="23" w:name="_Ref51771383"/>
      <w:r w:rsidRPr="00B11FA7">
        <w:rPr>
          <w:rFonts w:ascii="Times New Roman" w:hAnsi="Times New Roman"/>
        </w:rPr>
        <w:t>R5-204200, Discussion on size of Quiet Zone above 30cm, Rohde &amp; Schwarz, 3GPP TSG-RAN5 Meeting #88-e, August 2020</w:t>
      </w:r>
      <w:bookmarkEnd w:id="23"/>
    </w:p>
    <w:p w14:paraId="35952393" w14:textId="77777777" w:rsidR="000547AB" w:rsidRPr="00052390" w:rsidRDefault="000547AB" w:rsidP="001B2645">
      <w:pPr>
        <w:tabs>
          <w:tab w:val="left" w:pos="2250"/>
        </w:tabs>
        <w:ind w:left="2160" w:hanging="2160"/>
      </w:pPr>
    </w:p>
    <w:sectPr w:rsidR="000547AB" w:rsidRPr="0005239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F38F3B" w14:textId="77777777" w:rsidR="00AA435B" w:rsidRDefault="00AA435B">
      <w:r>
        <w:separator/>
      </w:r>
    </w:p>
  </w:endnote>
  <w:endnote w:type="continuationSeparator" w:id="0">
    <w:p w14:paraId="2B745E73" w14:textId="77777777" w:rsidR="00AA435B" w:rsidRDefault="00AA435B">
      <w:r>
        <w:continuationSeparator/>
      </w:r>
    </w:p>
  </w:endnote>
  <w:endnote w:type="continuationNotice" w:id="1">
    <w:p w14:paraId="10E66845" w14:textId="77777777" w:rsidR="00AA435B" w:rsidRDefault="00AA435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C78D1A" w14:textId="77777777" w:rsidR="00AA435B" w:rsidRDefault="00AA435B">
      <w:r>
        <w:separator/>
      </w:r>
    </w:p>
  </w:footnote>
  <w:footnote w:type="continuationSeparator" w:id="0">
    <w:p w14:paraId="3D6D4D42" w14:textId="77777777" w:rsidR="00AA435B" w:rsidRDefault="00AA435B">
      <w:r>
        <w:continuationSeparator/>
      </w:r>
    </w:p>
  </w:footnote>
  <w:footnote w:type="continuationNotice" w:id="1">
    <w:p w14:paraId="3391714E" w14:textId="77777777" w:rsidR="00AA435B" w:rsidRDefault="00AA435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666456"/>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8223FD9"/>
    <w:multiLevelType w:val="hybridMultilevel"/>
    <w:tmpl w:val="4A10A75A"/>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5" w15:restartNumberingAfterBreak="0">
    <w:nsid w:val="0B503B7A"/>
    <w:multiLevelType w:val="hybridMultilevel"/>
    <w:tmpl w:val="BD586678"/>
    <w:lvl w:ilvl="0" w:tplc="4C12E08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BF39AA"/>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2226ED"/>
    <w:multiLevelType w:val="hybridMultilevel"/>
    <w:tmpl w:val="F83EF10A"/>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8" w15:restartNumberingAfterBreak="0">
    <w:nsid w:val="18AF1A27"/>
    <w:multiLevelType w:val="hybridMultilevel"/>
    <w:tmpl w:val="202483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8DB2C5A"/>
    <w:multiLevelType w:val="hybridMultilevel"/>
    <w:tmpl w:val="87649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2739AE"/>
    <w:multiLevelType w:val="hybridMultilevel"/>
    <w:tmpl w:val="EC70407A"/>
    <w:lvl w:ilvl="0" w:tplc="0409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1" w15:restartNumberingAfterBreak="0">
    <w:nsid w:val="1D34016E"/>
    <w:multiLevelType w:val="hybridMultilevel"/>
    <w:tmpl w:val="FFA4E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54137F"/>
    <w:multiLevelType w:val="hybridMultilevel"/>
    <w:tmpl w:val="FE361CB8"/>
    <w:lvl w:ilvl="0" w:tplc="7658980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3" w15:restartNumberingAfterBreak="0">
    <w:nsid w:val="23A538C6"/>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226F28"/>
    <w:multiLevelType w:val="hybridMultilevel"/>
    <w:tmpl w:val="51CA03AE"/>
    <w:lvl w:ilvl="0" w:tplc="3CDAE568">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8DD4DEE"/>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B262B9"/>
    <w:multiLevelType w:val="hybridMultilevel"/>
    <w:tmpl w:val="2876AC88"/>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17" w15:restartNumberingAfterBreak="0">
    <w:nsid w:val="2FB90FE0"/>
    <w:multiLevelType w:val="hybridMultilevel"/>
    <w:tmpl w:val="7042F844"/>
    <w:lvl w:ilvl="0" w:tplc="4C12E084">
      <w:start w:val="1"/>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303F0E4B"/>
    <w:multiLevelType w:val="hybridMultilevel"/>
    <w:tmpl w:val="EF7043DC"/>
    <w:lvl w:ilvl="0" w:tplc="4C12E084">
      <w:start w:val="1"/>
      <w:numFmt w:val="bullet"/>
      <w:lvlText w:val="-"/>
      <w:lvlJc w:val="left"/>
      <w:pPr>
        <w:ind w:left="928"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0DB7C52"/>
    <w:multiLevelType w:val="hybridMultilevel"/>
    <w:tmpl w:val="6EDAFBBE"/>
    <w:lvl w:ilvl="0" w:tplc="9E906C0E">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1F66644"/>
    <w:multiLevelType w:val="hybridMultilevel"/>
    <w:tmpl w:val="AB7E9A0C"/>
    <w:lvl w:ilvl="0" w:tplc="08CA970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6AD45B2"/>
    <w:multiLevelType w:val="hybridMultilevel"/>
    <w:tmpl w:val="C27EDD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BB310CA"/>
    <w:multiLevelType w:val="hybridMultilevel"/>
    <w:tmpl w:val="E91C9C38"/>
    <w:lvl w:ilvl="0" w:tplc="F9B2D4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2926202"/>
    <w:multiLevelType w:val="hybridMultilevel"/>
    <w:tmpl w:val="7AAEF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5" w15:restartNumberingAfterBreak="0">
    <w:nsid w:val="53551B73"/>
    <w:multiLevelType w:val="hybridMultilevel"/>
    <w:tmpl w:val="94AAE54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5CCE2026"/>
    <w:multiLevelType w:val="hybridMultilevel"/>
    <w:tmpl w:val="5CDCE522"/>
    <w:lvl w:ilvl="0" w:tplc="4D30C1E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7" w15:restartNumberingAfterBreak="0">
    <w:nsid w:val="64490F04"/>
    <w:multiLevelType w:val="hybridMultilevel"/>
    <w:tmpl w:val="8946B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6E76B8C"/>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0F41E5"/>
    <w:multiLevelType w:val="hybridMultilevel"/>
    <w:tmpl w:val="75ACDCBA"/>
    <w:lvl w:ilvl="0" w:tplc="8332BD36">
      <w:start w:val="1"/>
      <w:numFmt w:val="lowerLetter"/>
      <w:lvlText w:val="(%1)"/>
      <w:lvlJc w:val="left"/>
      <w:pPr>
        <w:ind w:left="4336" w:hanging="360"/>
      </w:pPr>
      <w:rPr>
        <w:rFonts w:hint="default"/>
      </w:rPr>
    </w:lvl>
    <w:lvl w:ilvl="1" w:tplc="04090019" w:tentative="1">
      <w:start w:val="1"/>
      <w:numFmt w:val="lowerLetter"/>
      <w:lvlText w:val="%2."/>
      <w:lvlJc w:val="left"/>
      <w:pPr>
        <w:ind w:left="5056" w:hanging="360"/>
      </w:pPr>
    </w:lvl>
    <w:lvl w:ilvl="2" w:tplc="0409001B" w:tentative="1">
      <w:start w:val="1"/>
      <w:numFmt w:val="lowerRoman"/>
      <w:lvlText w:val="%3."/>
      <w:lvlJc w:val="right"/>
      <w:pPr>
        <w:ind w:left="5776" w:hanging="180"/>
      </w:pPr>
    </w:lvl>
    <w:lvl w:ilvl="3" w:tplc="0409000F" w:tentative="1">
      <w:start w:val="1"/>
      <w:numFmt w:val="decimal"/>
      <w:lvlText w:val="%4."/>
      <w:lvlJc w:val="left"/>
      <w:pPr>
        <w:ind w:left="6496" w:hanging="360"/>
      </w:pPr>
    </w:lvl>
    <w:lvl w:ilvl="4" w:tplc="04090019" w:tentative="1">
      <w:start w:val="1"/>
      <w:numFmt w:val="lowerLetter"/>
      <w:lvlText w:val="%5."/>
      <w:lvlJc w:val="left"/>
      <w:pPr>
        <w:ind w:left="7216" w:hanging="360"/>
      </w:pPr>
    </w:lvl>
    <w:lvl w:ilvl="5" w:tplc="0409001B" w:tentative="1">
      <w:start w:val="1"/>
      <w:numFmt w:val="lowerRoman"/>
      <w:lvlText w:val="%6."/>
      <w:lvlJc w:val="right"/>
      <w:pPr>
        <w:ind w:left="7936" w:hanging="180"/>
      </w:pPr>
    </w:lvl>
    <w:lvl w:ilvl="6" w:tplc="0409000F" w:tentative="1">
      <w:start w:val="1"/>
      <w:numFmt w:val="decimal"/>
      <w:lvlText w:val="%7."/>
      <w:lvlJc w:val="left"/>
      <w:pPr>
        <w:ind w:left="8656" w:hanging="360"/>
      </w:pPr>
    </w:lvl>
    <w:lvl w:ilvl="7" w:tplc="04090019" w:tentative="1">
      <w:start w:val="1"/>
      <w:numFmt w:val="lowerLetter"/>
      <w:lvlText w:val="%8."/>
      <w:lvlJc w:val="left"/>
      <w:pPr>
        <w:ind w:left="9376" w:hanging="360"/>
      </w:pPr>
    </w:lvl>
    <w:lvl w:ilvl="8" w:tplc="0409001B" w:tentative="1">
      <w:start w:val="1"/>
      <w:numFmt w:val="lowerRoman"/>
      <w:lvlText w:val="%9."/>
      <w:lvlJc w:val="right"/>
      <w:pPr>
        <w:ind w:left="10096" w:hanging="180"/>
      </w:pPr>
    </w:lvl>
  </w:abstractNum>
  <w:abstractNum w:abstractNumId="30"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73E01D70"/>
    <w:multiLevelType w:val="hybridMultilevel"/>
    <w:tmpl w:val="0B5E9126"/>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32" w15:restartNumberingAfterBreak="0">
    <w:nsid w:val="78564103"/>
    <w:multiLevelType w:val="hybridMultilevel"/>
    <w:tmpl w:val="512805AC"/>
    <w:lvl w:ilvl="0" w:tplc="1DDAA902">
      <w:start w:val="8"/>
      <w:numFmt w:val="bullet"/>
      <w:lvlText w:val="-"/>
      <w:lvlJc w:val="left"/>
      <w:pPr>
        <w:ind w:left="720" w:hanging="360"/>
      </w:pPr>
      <w:rPr>
        <w:rFonts w:ascii="Times New Roman" w:eastAsia="Malgun Gothic" w:hAnsi="Times New Roman" w:cs="Times New Roman"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3" w15:restartNumberingAfterBreak="0">
    <w:nsid w:val="785812A9"/>
    <w:multiLevelType w:val="hybridMultilevel"/>
    <w:tmpl w:val="633EA80C"/>
    <w:lvl w:ilvl="0" w:tplc="C874C154">
      <w:start w:val="11"/>
      <w:numFmt w:val="bullet"/>
      <w:lvlText w:val="-"/>
      <w:lvlJc w:val="left"/>
      <w:pPr>
        <w:ind w:left="928" w:hanging="360"/>
      </w:pPr>
      <w:rPr>
        <w:rFonts w:ascii="Times New Roman" w:eastAsia="Malgun Gothic" w:hAnsi="Times New Roman" w:cs="Times New Roman" w:hint="default"/>
      </w:rPr>
    </w:lvl>
    <w:lvl w:ilvl="1" w:tplc="040A0003" w:tentative="1">
      <w:start w:val="1"/>
      <w:numFmt w:val="bullet"/>
      <w:lvlText w:val="o"/>
      <w:lvlJc w:val="left"/>
      <w:pPr>
        <w:ind w:left="1648" w:hanging="360"/>
      </w:pPr>
      <w:rPr>
        <w:rFonts w:ascii="Courier New" w:hAnsi="Courier New" w:cs="Courier New" w:hint="default"/>
      </w:rPr>
    </w:lvl>
    <w:lvl w:ilvl="2" w:tplc="040A0005" w:tentative="1">
      <w:start w:val="1"/>
      <w:numFmt w:val="bullet"/>
      <w:lvlText w:val=""/>
      <w:lvlJc w:val="left"/>
      <w:pPr>
        <w:ind w:left="2368" w:hanging="360"/>
      </w:pPr>
      <w:rPr>
        <w:rFonts w:ascii="Wingdings" w:hAnsi="Wingdings" w:hint="default"/>
      </w:rPr>
    </w:lvl>
    <w:lvl w:ilvl="3" w:tplc="040A0001" w:tentative="1">
      <w:start w:val="1"/>
      <w:numFmt w:val="bullet"/>
      <w:lvlText w:val=""/>
      <w:lvlJc w:val="left"/>
      <w:pPr>
        <w:ind w:left="3088" w:hanging="360"/>
      </w:pPr>
      <w:rPr>
        <w:rFonts w:ascii="Symbol" w:hAnsi="Symbol" w:hint="default"/>
      </w:rPr>
    </w:lvl>
    <w:lvl w:ilvl="4" w:tplc="040A0003" w:tentative="1">
      <w:start w:val="1"/>
      <w:numFmt w:val="bullet"/>
      <w:lvlText w:val="o"/>
      <w:lvlJc w:val="left"/>
      <w:pPr>
        <w:ind w:left="3808" w:hanging="360"/>
      </w:pPr>
      <w:rPr>
        <w:rFonts w:ascii="Courier New" w:hAnsi="Courier New" w:cs="Courier New" w:hint="default"/>
      </w:rPr>
    </w:lvl>
    <w:lvl w:ilvl="5" w:tplc="040A0005" w:tentative="1">
      <w:start w:val="1"/>
      <w:numFmt w:val="bullet"/>
      <w:lvlText w:val=""/>
      <w:lvlJc w:val="left"/>
      <w:pPr>
        <w:ind w:left="4528" w:hanging="360"/>
      </w:pPr>
      <w:rPr>
        <w:rFonts w:ascii="Wingdings" w:hAnsi="Wingdings" w:hint="default"/>
      </w:rPr>
    </w:lvl>
    <w:lvl w:ilvl="6" w:tplc="040A0001" w:tentative="1">
      <w:start w:val="1"/>
      <w:numFmt w:val="bullet"/>
      <w:lvlText w:val=""/>
      <w:lvlJc w:val="left"/>
      <w:pPr>
        <w:ind w:left="5248" w:hanging="360"/>
      </w:pPr>
      <w:rPr>
        <w:rFonts w:ascii="Symbol" w:hAnsi="Symbol" w:hint="default"/>
      </w:rPr>
    </w:lvl>
    <w:lvl w:ilvl="7" w:tplc="040A0003" w:tentative="1">
      <w:start w:val="1"/>
      <w:numFmt w:val="bullet"/>
      <w:lvlText w:val="o"/>
      <w:lvlJc w:val="left"/>
      <w:pPr>
        <w:ind w:left="5968" w:hanging="360"/>
      </w:pPr>
      <w:rPr>
        <w:rFonts w:ascii="Courier New" w:hAnsi="Courier New" w:cs="Courier New" w:hint="default"/>
      </w:rPr>
    </w:lvl>
    <w:lvl w:ilvl="8" w:tplc="040A0005" w:tentative="1">
      <w:start w:val="1"/>
      <w:numFmt w:val="bullet"/>
      <w:lvlText w:val=""/>
      <w:lvlJc w:val="left"/>
      <w:pPr>
        <w:ind w:left="6688" w:hanging="360"/>
      </w:pPr>
      <w:rPr>
        <w:rFonts w:ascii="Wingdings" w:hAnsi="Wingdings" w:hint="default"/>
      </w:rPr>
    </w:lvl>
  </w:abstractNum>
  <w:abstractNum w:abstractNumId="34" w15:restartNumberingAfterBreak="0">
    <w:nsid w:val="797B2CDA"/>
    <w:multiLevelType w:val="hybridMultilevel"/>
    <w:tmpl w:val="CC30D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A4E6228"/>
    <w:multiLevelType w:val="hybridMultilevel"/>
    <w:tmpl w:val="B84E1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33"/>
  </w:num>
  <w:num w:numId="5">
    <w:abstractNumId w:val="2"/>
  </w:num>
  <w:num w:numId="6">
    <w:abstractNumId w:val="17"/>
  </w:num>
  <w:num w:numId="7">
    <w:abstractNumId w:val="14"/>
  </w:num>
  <w:num w:numId="8">
    <w:abstractNumId w:val="8"/>
  </w:num>
  <w:num w:numId="9">
    <w:abstractNumId w:val="22"/>
  </w:num>
  <w:num w:numId="10">
    <w:abstractNumId w:val="5"/>
  </w:num>
  <w:num w:numId="11">
    <w:abstractNumId w:val="27"/>
  </w:num>
  <w:num w:numId="12">
    <w:abstractNumId w:val="12"/>
  </w:num>
  <w:num w:numId="13">
    <w:abstractNumId w:val="26"/>
  </w:num>
  <w:num w:numId="14">
    <w:abstractNumId w:val="32"/>
  </w:num>
  <w:num w:numId="15">
    <w:abstractNumId w:val="10"/>
  </w:num>
  <w:num w:numId="16">
    <w:abstractNumId w:val="31"/>
  </w:num>
  <w:num w:numId="17">
    <w:abstractNumId w:val="7"/>
  </w:num>
  <w:num w:numId="18">
    <w:abstractNumId w:val="24"/>
  </w:num>
  <w:num w:numId="19">
    <w:abstractNumId w:val="20"/>
  </w:num>
  <w:num w:numId="20">
    <w:abstractNumId w:val="25"/>
  </w:num>
  <w:num w:numId="21">
    <w:abstractNumId w:val="30"/>
  </w:num>
  <w:num w:numId="22">
    <w:abstractNumId w:val="23"/>
  </w:num>
  <w:num w:numId="23">
    <w:abstractNumId w:val="21"/>
  </w:num>
  <w:num w:numId="24">
    <w:abstractNumId w:val="9"/>
  </w:num>
  <w:num w:numId="25">
    <w:abstractNumId w:val="4"/>
  </w:num>
  <w:num w:numId="26">
    <w:abstractNumId w:val="24"/>
  </w:num>
  <w:num w:numId="27">
    <w:abstractNumId w:val="24"/>
  </w:num>
  <w:num w:numId="28">
    <w:abstractNumId w:val="24"/>
  </w:num>
  <w:num w:numId="29">
    <w:abstractNumId w:val="18"/>
  </w:num>
  <w:num w:numId="30">
    <w:abstractNumId w:val="16"/>
  </w:num>
  <w:num w:numId="31">
    <w:abstractNumId w:val="35"/>
  </w:num>
  <w:num w:numId="32">
    <w:abstractNumId w:val="29"/>
  </w:num>
  <w:num w:numId="33">
    <w:abstractNumId w:val="34"/>
  </w:num>
  <w:num w:numId="34">
    <w:abstractNumId w:val="15"/>
  </w:num>
  <w:num w:numId="35">
    <w:abstractNumId w:val="6"/>
  </w:num>
  <w:num w:numId="36">
    <w:abstractNumId w:val="1"/>
  </w:num>
  <w:num w:numId="37">
    <w:abstractNumId w:val="28"/>
  </w:num>
  <w:num w:numId="38">
    <w:abstractNumId w:val="13"/>
  </w:num>
  <w:num w:numId="39">
    <w:abstractNumId w:val="11"/>
  </w:num>
  <w:num w:numId="4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300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6800"/>
    <w:rsid w:val="000078E2"/>
    <w:rsid w:val="00011F6E"/>
    <w:rsid w:val="000136CE"/>
    <w:rsid w:val="00015E33"/>
    <w:rsid w:val="00017295"/>
    <w:rsid w:val="00017A04"/>
    <w:rsid w:val="00017C05"/>
    <w:rsid w:val="000200FB"/>
    <w:rsid w:val="0002191D"/>
    <w:rsid w:val="000262D5"/>
    <w:rsid w:val="000266A0"/>
    <w:rsid w:val="00026A7D"/>
    <w:rsid w:val="00031C1D"/>
    <w:rsid w:val="00032F36"/>
    <w:rsid w:val="00036AF0"/>
    <w:rsid w:val="000379D6"/>
    <w:rsid w:val="000439E6"/>
    <w:rsid w:val="0004477C"/>
    <w:rsid w:val="0004678D"/>
    <w:rsid w:val="00052390"/>
    <w:rsid w:val="000547AB"/>
    <w:rsid w:val="0005509D"/>
    <w:rsid w:val="00055873"/>
    <w:rsid w:val="00056560"/>
    <w:rsid w:val="0005725C"/>
    <w:rsid w:val="000606FD"/>
    <w:rsid w:val="00064500"/>
    <w:rsid w:val="00074A55"/>
    <w:rsid w:val="00075120"/>
    <w:rsid w:val="00077333"/>
    <w:rsid w:val="00082566"/>
    <w:rsid w:val="00083540"/>
    <w:rsid w:val="00084983"/>
    <w:rsid w:val="000855D1"/>
    <w:rsid w:val="00087F53"/>
    <w:rsid w:val="00093E7E"/>
    <w:rsid w:val="00096EE4"/>
    <w:rsid w:val="000A12C7"/>
    <w:rsid w:val="000A2A86"/>
    <w:rsid w:val="000A43B4"/>
    <w:rsid w:val="000B25D3"/>
    <w:rsid w:val="000C2440"/>
    <w:rsid w:val="000C3463"/>
    <w:rsid w:val="000C640F"/>
    <w:rsid w:val="000D39C6"/>
    <w:rsid w:val="000D6B69"/>
    <w:rsid w:val="000D6CFC"/>
    <w:rsid w:val="000E24A4"/>
    <w:rsid w:val="000E5917"/>
    <w:rsid w:val="0010125F"/>
    <w:rsid w:val="00114DB9"/>
    <w:rsid w:val="001174D8"/>
    <w:rsid w:val="00121323"/>
    <w:rsid w:val="00122845"/>
    <w:rsid w:val="00124141"/>
    <w:rsid w:val="001258E2"/>
    <w:rsid w:val="0013001E"/>
    <w:rsid w:val="00130A4D"/>
    <w:rsid w:val="0013528D"/>
    <w:rsid w:val="0014005E"/>
    <w:rsid w:val="00140084"/>
    <w:rsid w:val="0014206F"/>
    <w:rsid w:val="001423A1"/>
    <w:rsid w:val="001430FC"/>
    <w:rsid w:val="001458A3"/>
    <w:rsid w:val="00150099"/>
    <w:rsid w:val="00152172"/>
    <w:rsid w:val="00153528"/>
    <w:rsid w:val="00157AD8"/>
    <w:rsid w:val="00166A36"/>
    <w:rsid w:val="001741AE"/>
    <w:rsid w:val="001758FB"/>
    <w:rsid w:val="00196F9F"/>
    <w:rsid w:val="001A08AA"/>
    <w:rsid w:val="001A17A5"/>
    <w:rsid w:val="001A2BC5"/>
    <w:rsid w:val="001A2EF9"/>
    <w:rsid w:val="001A3120"/>
    <w:rsid w:val="001A3BFA"/>
    <w:rsid w:val="001B2108"/>
    <w:rsid w:val="001B231F"/>
    <w:rsid w:val="001B2645"/>
    <w:rsid w:val="001B28D7"/>
    <w:rsid w:val="001B6A72"/>
    <w:rsid w:val="001C00AA"/>
    <w:rsid w:val="001C0CFD"/>
    <w:rsid w:val="001C3A35"/>
    <w:rsid w:val="001C3CCB"/>
    <w:rsid w:val="001C4A15"/>
    <w:rsid w:val="001C687E"/>
    <w:rsid w:val="001D0D8E"/>
    <w:rsid w:val="001D17D1"/>
    <w:rsid w:val="001D7D91"/>
    <w:rsid w:val="001D7F4A"/>
    <w:rsid w:val="001E1CF6"/>
    <w:rsid w:val="001E4636"/>
    <w:rsid w:val="001E6DC6"/>
    <w:rsid w:val="001F5795"/>
    <w:rsid w:val="001F706B"/>
    <w:rsid w:val="00200996"/>
    <w:rsid w:val="0020314E"/>
    <w:rsid w:val="00204999"/>
    <w:rsid w:val="00206FE6"/>
    <w:rsid w:val="0020758D"/>
    <w:rsid w:val="00207AD7"/>
    <w:rsid w:val="00210D55"/>
    <w:rsid w:val="0021155C"/>
    <w:rsid w:val="00212373"/>
    <w:rsid w:val="002138EA"/>
    <w:rsid w:val="00214FBD"/>
    <w:rsid w:val="00222897"/>
    <w:rsid w:val="0022419C"/>
    <w:rsid w:val="00234D1C"/>
    <w:rsid w:val="00235394"/>
    <w:rsid w:val="00235813"/>
    <w:rsid w:val="00236683"/>
    <w:rsid w:val="0023752C"/>
    <w:rsid w:val="00241A14"/>
    <w:rsid w:val="00244EEE"/>
    <w:rsid w:val="0025114C"/>
    <w:rsid w:val="00251340"/>
    <w:rsid w:val="002524A7"/>
    <w:rsid w:val="00252AEA"/>
    <w:rsid w:val="00254246"/>
    <w:rsid w:val="00255905"/>
    <w:rsid w:val="0026179F"/>
    <w:rsid w:val="00262600"/>
    <w:rsid w:val="00262A89"/>
    <w:rsid w:val="0026391C"/>
    <w:rsid w:val="00266C6B"/>
    <w:rsid w:val="0026709E"/>
    <w:rsid w:val="00267CC7"/>
    <w:rsid w:val="00271F76"/>
    <w:rsid w:val="002741DA"/>
    <w:rsid w:val="002748A2"/>
    <w:rsid w:val="00274984"/>
    <w:rsid w:val="00274E1A"/>
    <w:rsid w:val="0027758E"/>
    <w:rsid w:val="00277A09"/>
    <w:rsid w:val="00282213"/>
    <w:rsid w:val="00287895"/>
    <w:rsid w:val="00287C09"/>
    <w:rsid w:val="0029076F"/>
    <w:rsid w:val="00293732"/>
    <w:rsid w:val="00296B9F"/>
    <w:rsid w:val="002A4112"/>
    <w:rsid w:val="002A6510"/>
    <w:rsid w:val="002A7017"/>
    <w:rsid w:val="002A7F4B"/>
    <w:rsid w:val="002B11F7"/>
    <w:rsid w:val="002B3F06"/>
    <w:rsid w:val="002B4D62"/>
    <w:rsid w:val="002C1E1B"/>
    <w:rsid w:val="002C2040"/>
    <w:rsid w:val="002C7D13"/>
    <w:rsid w:val="002D0D61"/>
    <w:rsid w:val="002D44BD"/>
    <w:rsid w:val="002D69EF"/>
    <w:rsid w:val="002E465A"/>
    <w:rsid w:val="002E47F7"/>
    <w:rsid w:val="002E5F31"/>
    <w:rsid w:val="002F3283"/>
    <w:rsid w:val="002F4093"/>
    <w:rsid w:val="002F5FAD"/>
    <w:rsid w:val="00300544"/>
    <w:rsid w:val="00306D8E"/>
    <w:rsid w:val="00307D2C"/>
    <w:rsid w:val="00313528"/>
    <w:rsid w:val="003209E5"/>
    <w:rsid w:val="00324F35"/>
    <w:rsid w:val="00326CFF"/>
    <w:rsid w:val="00331E19"/>
    <w:rsid w:val="00332820"/>
    <w:rsid w:val="003340C5"/>
    <w:rsid w:val="0033593B"/>
    <w:rsid w:val="00342EC7"/>
    <w:rsid w:val="00344657"/>
    <w:rsid w:val="00344BCD"/>
    <w:rsid w:val="003450DD"/>
    <w:rsid w:val="00347574"/>
    <w:rsid w:val="00353724"/>
    <w:rsid w:val="00353E42"/>
    <w:rsid w:val="00353FAE"/>
    <w:rsid w:val="00364DC7"/>
    <w:rsid w:val="00365EF7"/>
    <w:rsid w:val="00366F9B"/>
    <w:rsid w:val="00367724"/>
    <w:rsid w:val="003679B5"/>
    <w:rsid w:val="00373148"/>
    <w:rsid w:val="00374836"/>
    <w:rsid w:val="00380C5B"/>
    <w:rsid w:val="00380F33"/>
    <w:rsid w:val="00381C22"/>
    <w:rsid w:val="003834B0"/>
    <w:rsid w:val="00384387"/>
    <w:rsid w:val="00387178"/>
    <w:rsid w:val="003907E3"/>
    <w:rsid w:val="0039361E"/>
    <w:rsid w:val="0039509E"/>
    <w:rsid w:val="00397CC0"/>
    <w:rsid w:val="003A1A50"/>
    <w:rsid w:val="003A1E08"/>
    <w:rsid w:val="003B1087"/>
    <w:rsid w:val="003B1AA0"/>
    <w:rsid w:val="003B478A"/>
    <w:rsid w:val="003B5AB0"/>
    <w:rsid w:val="003C4291"/>
    <w:rsid w:val="003C47CE"/>
    <w:rsid w:val="003C5232"/>
    <w:rsid w:val="003D1D54"/>
    <w:rsid w:val="003D2C79"/>
    <w:rsid w:val="003D5D10"/>
    <w:rsid w:val="003D7CEB"/>
    <w:rsid w:val="003E300F"/>
    <w:rsid w:val="003E39F0"/>
    <w:rsid w:val="003E3F2D"/>
    <w:rsid w:val="003E567C"/>
    <w:rsid w:val="003E6A73"/>
    <w:rsid w:val="003F0282"/>
    <w:rsid w:val="003F1AEA"/>
    <w:rsid w:val="003F1D13"/>
    <w:rsid w:val="003F6395"/>
    <w:rsid w:val="003F6FF1"/>
    <w:rsid w:val="004006F6"/>
    <w:rsid w:val="0040097C"/>
    <w:rsid w:val="0040139E"/>
    <w:rsid w:val="004026D0"/>
    <w:rsid w:val="004048A9"/>
    <w:rsid w:val="00413C3E"/>
    <w:rsid w:val="00413C6C"/>
    <w:rsid w:val="0041477A"/>
    <w:rsid w:val="00417068"/>
    <w:rsid w:val="004204BB"/>
    <w:rsid w:val="00420AD5"/>
    <w:rsid w:val="00426356"/>
    <w:rsid w:val="00427B4E"/>
    <w:rsid w:val="00431287"/>
    <w:rsid w:val="004420B4"/>
    <w:rsid w:val="00444225"/>
    <w:rsid w:val="004445E8"/>
    <w:rsid w:val="00456C09"/>
    <w:rsid w:val="0046119F"/>
    <w:rsid w:val="0046266D"/>
    <w:rsid w:val="00466E59"/>
    <w:rsid w:val="004701D2"/>
    <w:rsid w:val="00470B08"/>
    <w:rsid w:val="00470E49"/>
    <w:rsid w:val="00471B36"/>
    <w:rsid w:val="00473D9D"/>
    <w:rsid w:val="00474556"/>
    <w:rsid w:val="00474FBC"/>
    <w:rsid w:val="00476D28"/>
    <w:rsid w:val="00482CB3"/>
    <w:rsid w:val="004835B4"/>
    <w:rsid w:val="00484D33"/>
    <w:rsid w:val="00485FCA"/>
    <w:rsid w:val="00490F98"/>
    <w:rsid w:val="00490FAF"/>
    <w:rsid w:val="00491FA6"/>
    <w:rsid w:val="00495A33"/>
    <w:rsid w:val="004A06FB"/>
    <w:rsid w:val="004A07A1"/>
    <w:rsid w:val="004A17C7"/>
    <w:rsid w:val="004A419F"/>
    <w:rsid w:val="004A6B36"/>
    <w:rsid w:val="004B27EC"/>
    <w:rsid w:val="004C2A16"/>
    <w:rsid w:val="004D0FD5"/>
    <w:rsid w:val="004D5AE5"/>
    <w:rsid w:val="004E2B50"/>
    <w:rsid w:val="004F08C5"/>
    <w:rsid w:val="004F374D"/>
    <w:rsid w:val="004F3D34"/>
    <w:rsid w:val="004F3E0E"/>
    <w:rsid w:val="004F3EB5"/>
    <w:rsid w:val="004F554E"/>
    <w:rsid w:val="004F7A3D"/>
    <w:rsid w:val="004F7C82"/>
    <w:rsid w:val="00501CEE"/>
    <w:rsid w:val="00505BFA"/>
    <w:rsid w:val="005069C0"/>
    <w:rsid w:val="00511254"/>
    <w:rsid w:val="00512458"/>
    <w:rsid w:val="00513632"/>
    <w:rsid w:val="005150A3"/>
    <w:rsid w:val="00517B81"/>
    <w:rsid w:val="00520CFC"/>
    <w:rsid w:val="00522C5E"/>
    <w:rsid w:val="005239FE"/>
    <w:rsid w:val="00526FA7"/>
    <w:rsid w:val="0053435C"/>
    <w:rsid w:val="00541EB9"/>
    <w:rsid w:val="00543311"/>
    <w:rsid w:val="00546367"/>
    <w:rsid w:val="005471FE"/>
    <w:rsid w:val="00547986"/>
    <w:rsid w:val="00554A16"/>
    <w:rsid w:val="005550DD"/>
    <w:rsid w:val="005603F5"/>
    <w:rsid w:val="005649A1"/>
    <w:rsid w:val="00566838"/>
    <w:rsid w:val="00580542"/>
    <w:rsid w:val="00580587"/>
    <w:rsid w:val="00581E88"/>
    <w:rsid w:val="0058392F"/>
    <w:rsid w:val="00585B23"/>
    <w:rsid w:val="005908D2"/>
    <w:rsid w:val="00592F28"/>
    <w:rsid w:val="00593B56"/>
    <w:rsid w:val="005943B2"/>
    <w:rsid w:val="00595618"/>
    <w:rsid w:val="005A0EDD"/>
    <w:rsid w:val="005A616F"/>
    <w:rsid w:val="005A6F48"/>
    <w:rsid w:val="005C239F"/>
    <w:rsid w:val="005C331B"/>
    <w:rsid w:val="005C4593"/>
    <w:rsid w:val="005E12CD"/>
    <w:rsid w:val="005E2985"/>
    <w:rsid w:val="005E5D66"/>
    <w:rsid w:val="005F3B1B"/>
    <w:rsid w:val="006005B2"/>
    <w:rsid w:val="00607D98"/>
    <w:rsid w:val="0061059A"/>
    <w:rsid w:val="006126CA"/>
    <w:rsid w:val="006131BB"/>
    <w:rsid w:val="00613530"/>
    <w:rsid w:val="00613B1E"/>
    <w:rsid w:val="00616FB0"/>
    <w:rsid w:val="006210C4"/>
    <w:rsid w:val="00622B32"/>
    <w:rsid w:val="00634928"/>
    <w:rsid w:val="00635671"/>
    <w:rsid w:val="00636ABD"/>
    <w:rsid w:val="00645857"/>
    <w:rsid w:val="006468DD"/>
    <w:rsid w:val="00651C2B"/>
    <w:rsid w:val="006537BF"/>
    <w:rsid w:val="00653DF0"/>
    <w:rsid w:val="006543EF"/>
    <w:rsid w:val="0065492A"/>
    <w:rsid w:val="00654D11"/>
    <w:rsid w:val="00656A7B"/>
    <w:rsid w:val="00665AD3"/>
    <w:rsid w:val="00683EDA"/>
    <w:rsid w:val="006856E5"/>
    <w:rsid w:val="006937D0"/>
    <w:rsid w:val="00695755"/>
    <w:rsid w:val="00696BE5"/>
    <w:rsid w:val="00696D0A"/>
    <w:rsid w:val="006974B7"/>
    <w:rsid w:val="006A03F3"/>
    <w:rsid w:val="006A5A2A"/>
    <w:rsid w:val="006A5ED0"/>
    <w:rsid w:val="006B03F1"/>
    <w:rsid w:val="006B0D02"/>
    <w:rsid w:val="006B1C2F"/>
    <w:rsid w:val="006B363D"/>
    <w:rsid w:val="006B39EF"/>
    <w:rsid w:val="006C3A94"/>
    <w:rsid w:val="006D132D"/>
    <w:rsid w:val="006D6B1F"/>
    <w:rsid w:val="006E45D9"/>
    <w:rsid w:val="006F0D5F"/>
    <w:rsid w:val="006F1DCF"/>
    <w:rsid w:val="006F4830"/>
    <w:rsid w:val="006F4A1A"/>
    <w:rsid w:val="006F5431"/>
    <w:rsid w:val="006F5C22"/>
    <w:rsid w:val="00700488"/>
    <w:rsid w:val="00703F5D"/>
    <w:rsid w:val="00705FF6"/>
    <w:rsid w:val="0070646B"/>
    <w:rsid w:val="007066FA"/>
    <w:rsid w:val="00707941"/>
    <w:rsid w:val="00707CE7"/>
    <w:rsid w:val="0071466D"/>
    <w:rsid w:val="00714DD6"/>
    <w:rsid w:val="007162EF"/>
    <w:rsid w:val="00720148"/>
    <w:rsid w:val="00720AC9"/>
    <w:rsid w:val="007250C2"/>
    <w:rsid w:val="0072666A"/>
    <w:rsid w:val="00726FD4"/>
    <w:rsid w:val="00727352"/>
    <w:rsid w:val="00727593"/>
    <w:rsid w:val="00727A8D"/>
    <w:rsid w:val="00730547"/>
    <w:rsid w:val="00735C81"/>
    <w:rsid w:val="00736A17"/>
    <w:rsid w:val="007373B0"/>
    <w:rsid w:val="007403F2"/>
    <w:rsid w:val="00741775"/>
    <w:rsid w:val="00744CC1"/>
    <w:rsid w:val="0074650E"/>
    <w:rsid w:val="00747AD4"/>
    <w:rsid w:val="00752FA3"/>
    <w:rsid w:val="00770A12"/>
    <w:rsid w:val="00774B17"/>
    <w:rsid w:val="007756A1"/>
    <w:rsid w:val="0078088D"/>
    <w:rsid w:val="00785759"/>
    <w:rsid w:val="00785D03"/>
    <w:rsid w:val="007927CF"/>
    <w:rsid w:val="00797994"/>
    <w:rsid w:val="007A2502"/>
    <w:rsid w:val="007A4551"/>
    <w:rsid w:val="007A4F68"/>
    <w:rsid w:val="007A5139"/>
    <w:rsid w:val="007A5243"/>
    <w:rsid w:val="007A6059"/>
    <w:rsid w:val="007B03C6"/>
    <w:rsid w:val="007B0584"/>
    <w:rsid w:val="007B5856"/>
    <w:rsid w:val="007B6FFB"/>
    <w:rsid w:val="007C6DD8"/>
    <w:rsid w:val="007D0054"/>
    <w:rsid w:val="007D258B"/>
    <w:rsid w:val="007D36D3"/>
    <w:rsid w:val="007D3BE3"/>
    <w:rsid w:val="007D6048"/>
    <w:rsid w:val="007E2E0D"/>
    <w:rsid w:val="007E7938"/>
    <w:rsid w:val="007F0E1E"/>
    <w:rsid w:val="007F0E21"/>
    <w:rsid w:val="007F1535"/>
    <w:rsid w:val="007F39D0"/>
    <w:rsid w:val="007F4B80"/>
    <w:rsid w:val="007F4CAF"/>
    <w:rsid w:val="007F4CCC"/>
    <w:rsid w:val="007F5B12"/>
    <w:rsid w:val="007F62EA"/>
    <w:rsid w:val="007F7064"/>
    <w:rsid w:val="00803E82"/>
    <w:rsid w:val="00804709"/>
    <w:rsid w:val="00807F76"/>
    <w:rsid w:val="008142CC"/>
    <w:rsid w:val="00816C9D"/>
    <w:rsid w:val="0082033D"/>
    <w:rsid w:val="0082190B"/>
    <w:rsid w:val="00826B31"/>
    <w:rsid w:val="008278A2"/>
    <w:rsid w:val="00830BED"/>
    <w:rsid w:val="00836C44"/>
    <w:rsid w:val="0083754E"/>
    <w:rsid w:val="00837660"/>
    <w:rsid w:val="00840A11"/>
    <w:rsid w:val="008450F8"/>
    <w:rsid w:val="00845E55"/>
    <w:rsid w:val="00846391"/>
    <w:rsid w:val="008541B3"/>
    <w:rsid w:val="008602F7"/>
    <w:rsid w:val="00861C5F"/>
    <w:rsid w:val="008626D8"/>
    <w:rsid w:val="00864950"/>
    <w:rsid w:val="00870861"/>
    <w:rsid w:val="00884BE6"/>
    <w:rsid w:val="0088503C"/>
    <w:rsid w:val="00885D92"/>
    <w:rsid w:val="00892723"/>
    <w:rsid w:val="00893454"/>
    <w:rsid w:val="00895D05"/>
    <w:rsid w:val="00897A25"/>
    <w:rsid w:val="008A0A78"/>
    <w:rsid w:val="008A1A84"/>
    <w:rsid w:val="008A6143"/>
    <w:rsid w:val="008B0529"/>
    <w:rsid w:val="008B5C74"/>
    <w:rsid w:val="008C2308"/>
    <w:rsid w:val="008C60E9"/>
    <w:rsid w:val="008C7836"/>
    <w:rsid w:val="008D7BED"/>
    <w:rsid w:val="008E4413"/>
    <w:rsid w:val="008E4684"/>
    <w:rsid w:val="008E4F84"/>
    <w:rsid w:val="008E7B94"/>
    <w:rsid w:val="008F08D9"/>
    <w:rsid w:val="008F1346"/>
    <w:rsid w:val="008F540C"/>
    <w:rsid w:val="008F7D93"/>
    <w:rsid w:val="0090512F"/>
    <w:rsid w:val="0090524D"/>
    <w:rsid w:val="009064E9"/>
    <w:rsid w:val="009076E4"/>
    <w:rsid w:val="00911B1A"/>
    <w:rsid w:val="00916F35"/>
    <w:rsid w:val="00925B2A"/>
    <w:rsid w:val="00931702"/>
    <w:rsid w:val="00931918"/>
    <w:rsid w:val="00932F29"/>
    <w:rsid w:val="00937FBD"/>
    <w:rsid w:val="00945858"/>
    <w:rsid w:val="009514EA"/>
    <w:rsid w:val="00951CC5"/>
    <w:rsid w:val="00952F41"/>
    <w:rsid w:val="0095378B"/>
    <w:rsid w:val="0095392E"/>
    <w:rsid w:val="00957EF1"/>
    <w:rsid w:val="00964105"/>
    <w:rsid w:val="00970A06"/>
    <w:rsid w:val="0097133C"/>
    <w:rsid w:val="00972528"/>
    <w:rsid w:val="0097539D"/>
    <w:rsid w:val="009767AC"/>
    <w:rsid w:val="00980E79"/>
    <w:rsid w:val="00982B7E"/>
    <w:rsid w:val="00983910"/>
    <w:rsid w:val="00984E5F"/>
    <w:rsid w:val="009913F6"/>
    <w:rsid w:val="00992B5F"/>
    <w:rsid w:val="00997D88"/>
    <w:rsid w:val="009C0727"/>
    <w:rsid w:val="009C6214"/>
    <w:rsid w:val="009D28E0"/>
    <w:rsid w:val="009D78C2"/>
    <w:rsid w:val="009D7F67"/>
    <w:rsid w:val="009E186C"/>
    <w:rsid w:val="009E26C9"/>
    <w:rsid w:val="009E3840"/>
    <w:rsid w:val="009E41C5"/>
    <w:rsid w:val="009E448E"/>
    <w:rsid w:val="009E520A"/>
    <w:rsid w:val="009E7AFD"/>
    <w:rsid w:val="009F20D3"/>
    <w:rsid w:val="00A079A7"/>
    <w:rsid w:val="00A165D9"/>
    <w:rsid w:val="00A17573"/>
    <w:rsid w:val="00A210B9"/>
    <w:rsid w:val="00A22FB6"/>
    <w:rsid w:val="00A2310D"/>
    <w:rsid w:val="00A25AEB"/>
    <w:rsid w:val="00A277B2"/>
    <w:rsid w:val="00A313BC"/>
    <w:rsid w:val="00A320FB"/>
    <w:rsid w:val="00A3540D"/>
    <w:rsid w:val="00A446A0"/>
    <w:rsid w:val="00A4504D"/>
    <w:rsid w:val="00A452C2"/>
    <w:rsid w:val="00A45E4D"/>
    <w:rsid w:val="00A463F2"/>
    <w:rsid w:val="00A515A6"/>
    <w:rsid w:val="00A51F25"/>
    <w:rsid w:val="00A56613"/>
    <w:rsid w:val="00A57698"/>
    <w:rsid w:val="00A60D06"/>
    <w:rsid w:val="00A61E17"/>
    <w:rsid w:val="00A65414"/>
    <w:rsid w:val="00A65439"/>
    <w:rsid w:val="00A67306"/>
    <w:rsid w:val="00A67ACD"/>
    <w:rsid w:val="00A71503"/>
    <w:rsid w:val="00A72864"/>
    <w:rsid w:val="00A7302E"/>
    <w:rsid w:val="00A74CFE"/>
    <w:rsid w:val="00A77EC9"/>
    <w:rsid w:val="00A8094A"/>
    <w:rsid w:val="00A80BEF"/>
    <w:rsid w:val="00A81B15"/>
    <w:rsid w:val="00A82056"/>
    <w:rsid w:val="00A85286"/>
    <w:rsid w:val="00A85DBC"/>
    <w:rsid w:val="00A91132"/>
    <w:rsid w:val="00A955B9"/>
    <w:rsid w:val="00A97CB6"/>
    <w:rsid w:val="00AA28BF"/>
    <w:rsid w:val="00AA3D6A"/>
    <w:rsid w:val="00AA42AF"/>
    <w:rsid w:val="00AA435B"/>
    <w:rsid w:val="00AA69E4"/>
    <w:rsid w:val="00AA7233"/>
    <w:rsid w:val="00AB0C5E"/>
    <w:rsid w:val="00AB25ED"/>
    <w:rsid w:val="00AB32B3"/>
    <w:rsid w:val="00AB3F85"/>
    <w:rsid w:val="00AB4AC5"/>
    <w:rsid w:val="00AC5011"/>
    <w:rsid w:val="00AC6E03"/>
    <w:rsid w:val="00AD17B1"/>
    <w:rsid w:val="00AD36AA"/>
    <w:rsid w:val="00AD4B9B"/>
    <w:rsid w:val="00AD768A"/>
    <w:rsid w:val="00AE116C"/>
    <w:rsid w:val="00AE342A"/>
    <w:rsid w:val="00AE627B"/>
    <w:rsid w:val="00AE6EAF"/>
    <w:rsid w:val="00AF0F4C"/>
    <w:rsid w:val="00AF3407"/>
    <w:rsid w:val="00AF5AD3"/>
    <w:rsid w:val="00AF659D"/>
    <w:rsid w:val="00B0589A"/>
    <w:rsid w:val="00B11FA7"/>
    <w:rsid w:val="00B14BC8"/>
    <w:rsid w:val="00B15102"/>
    <w:rsid w:val="00B1707D"/>
    <w:rsid w:val="00B20C57"/>
    <w:rsid w:val="00B21D87"/>
    <w:rsid w:val="00B22ADA"/>
    <w:rsid w:val="00B24E76"/>
    <w:rsid w:val="00B334B9"/>
    <w:rsid w:val="00B36208"/>
    <w:rsid w:val="00B3769C"/>
    <w:rsid w:val="00B40D30"/>
    <w:rsid w:val="00B426E8"/>
    <w:rsid w:val="00B42B91"/>
    <w:rsid w:val="00B478AC"/>
    <w:rsid w:val="00B55D9A"/>
    <w:rsid w:val="00B5661F"/>
    <w:rsid w:val="00B6099D"/>
    <w:rsid w:val="00B62514"/>
    <w:rsid w:val="00B65101"/>
    <w:rsid w:val="00B7370C"/>
    <w:rsid w:val="00B73955"/>
    <w:rsid w:val="00B75741"/>
    <w:rsid w:val="00B822A0"/>
    <w:rsid w:val="00B8446C"/>
    <w:rsid w:val="00B906D3"/>
    <w:rsid w:val="00B910BC"/>
    <w:rsid w:val="00B92920"/>
    <w:rsid w:val="00B93A4D"/>
    <w:rsid w:val="00B943D6"/>
    <w:rsid w:val="00BA0D2D"/>
    <w:rsid w:val="00BA47FD"/>
    <w:rsid w:val="00BA5EFD"/>
    <w:rsid w:val="00BB2B4D"/>
    <w:rsid w:val="00BB4346"/>
    <w:rsid w:val="00BB43B8"/>
    <w:rsid w:val="00BB53AC"/>
    <w:rsid w:val="00BB5C16"/>
    <w:rsid w:val="00BB7338"/>
    <w:rsid w:val="00BC2D24"/>
    <w:rsid w:val="00BC577A"/>
    <w:rsid w:val="00BD0905"/>
    <w:rsid w:val="00BD455F"/>
    <w:rsid w:val="00BD707B"/>
    <w:rsid w:val="00BE0187"/>
    <w:rsid w:val="00BE1212"/>
    <w:rsid w:val="00BE1A05"/>
    <w:rsid w:val="00BE3D23"/>
    <w:rsid w:val="00BE5CA5"/>
    <w:rsid w:val="00BE5CB9"/>
    <w:rsid w:val="00BF5875"/>
    <w:rsid w:val="00C01AD5"/>
    <w:rsid w:val="00C01D4A"/>
    <w:rsid w:val="00C050BC"/>
    <w:rsid w:val="00C050CF"/>
    <w:rsid w:val="00C06487"/>
    <w:rsid w:val="00C065DE"/>
    <w:rsid w:val="00C1494B"/>
    <w:rsid w:val="00C14DE6"/>
    <w:rsid w:val="00C15AC6"/>
    <w:rsid w:val="00C16052"/>
    <w:rsid w:val="00C1643C"/>
    <w:rsid w:val="00C209B5"/>
    <w:rsid w:val="00C26EE8"/>
    <w:rsid w:val="00C313B8"/>
    <w:rsid w:val="00C31D69"/>
    <w:rsid w:val="00C401B8"/>
    <w:rsid w:val="00C42F12"/>
    <w:rsid w:val="00C451D8"/>
    <w:rsid w:val="00C475DA"/>
    <w:rsid w:val="00C56792"/>
    <w:rsid w:val="00C6278C"/>
    <w:rsid w:val="00C63AA2"/>
    <w:rsid w:val="00C65422"/>
    <w:rsid w:val="00C6599B"/>
    <w:rsid w:val="00C76F04"/>
    <w:rsid w:val="00C804C3"/>
    <w:rsid w:val="00C807DB"/>
    <w:rsid w:val="00C81268"/>
    <w:rsid w:val="00C83771"/>
    <w:rsid w:val="00C87851"/>
    <w:rsid w:val="00C93744"/>
    <w:rsid w:val="00C958F3"/>
    <w:rsid w:val="00C97ADA"/>
    <w:rsid w:val="00CA3A27"/>
    <w:rsid w:val="00CA517A"/>
    <w:rsid w:val="00CB0D58"/>
    <w:rsid w:val="00CB29E4"/>
    <w:rsid w:val="00CB5BF2"/>
    <w:rsid w:val="00CC15A4"/>
    <w:rsid w:val="00CC28A9"/>
    <w:rsid w:val="00CC4493"/>
    <w:rsid w:val="00CC6580"/>
    <w:rsid w:val="00CC6FE0"/>
    <w:rsid w:val="00CC75FD"/>
    <w:rsid w:val="00CE0386"/>
    <w:rsid w:val="00CF0031"/>
    <w:rsid w:val="00CF0C99"/>
    <w:rsid w:val="00CF46D3"/>
    <w:rsid w:val="00CF61F2"/>
    <w:rsid w:val="00D00EBD"/>
    <w:rsid w:val="00D048F4"/>
    <w:rsid w:val="00D076FD"/>
    <w:rsid w:val="00D1118A"/>
    <w:rsid w:val="00D12CB8"/>
    <w:rsid w:val="00D16CE2"/>
    <w:rsid w:val="00D21245"/>
    <w:rsid w:val="00D217AF"/>
    <w:rsid w:val="00D21C9F"/>
    <w:rsid w:val="00D22BEB"/>
    <w:rsid w:val="00D26BF2"/>
    <w:rsid w:val="00D33C1E"/>
    <w:rsid w:val="00D37444"/>
    <w:rsid w:val="00D37A5A"/>
    <w:rsid w:val="00D402C2"/>
    <w:rsid w:val="00D45EB6"/>
    <w:rsid w:val="00D520D4"/>
    <w:rsid w:val="00D520E4"/>
    <w:rsid w:val="00D54860"/>
    <w:rsid w:val="00D54AA0"/>
    <w:rsid w:val="00D54F08"/>
    <w:rsid w:val="00D55B87"/>
    <w:rsid w:val="00D567FB"/>
    <w:rsid w:val="00D57DFA"/>
    <w:rsid w:val="00D6215E"/>
    <w:rsid w:val="00D70DBC"/>
    <w:rsid w:val="00D7306B"/>
    <w:rsid w:val="00D73201"/>
    <w:rsid w:val="00D73647"/>
    <w:rsid w:val="00D7501A"/>
    <w:rsid w:val="00D8307F"/>
    <w:rsid w:val="00D8465F"/>
    <w:rsid w:val="00D85B5D"/>
    <w:rsid w:val="00D90F93"/>
    <w:rsid w:val="00D91F54"/>
    <w:rsid w:val="00D93835"/>
    <w:rsid w:val="00D93AE3"/>
    <w:rsid w:val="00D9442D"/>
    <w:rsid w:val="00D94F08"/>
    <w:rsid w:val="00D94F8B"/>
    <w:rsid w:val="00D95235"/>
    <w:rsid w:val="00D9763F"/>
    <w:rsid w:val="00DA66C3"/>
    <w:rsid w:val="00DB5E7F"/>
    <w:rsid w:val="00DC176A"/>
    <w:rsid w:val="00DD0C2C"/>
    <w:rsid w:val="00DD0F6E"/>
    <w:rsid w:val="00DD1C07"/>
    <w:rsid w:val="00DD4BF9"/>
    <w:rsid w:val="00DE0E3E"/>
    <w:rsid w:val="00DE2633"/>
    <w:rsid w:val="00DF0467"/>
    <w:rsid w:val="00DF1AE6"/>
    <w:rsid w:val="00E038CE"/>
    <w:rsid w:val="00E03F11"/>
    <w:rsid w:val="00E0463C"/>
    <w:rsid w:val="00E077C9"/>
    <w:rsid w:val="00E11C02"/>
    <w:rsid w:val="00E21128"/>
    <w:rsid w:val="00E21AB4"/>
    <w:rsid w:val="00E224FC"/>
    <w:rsid w:val="00E31F57"/>
    <w:rsid w:val="00E32C2E"/>
    <w:rsid w:val="00E336C5"/>
    <w:rsid w:val="00E34794"/>
    <w:rsid w:val="00E41279"/>
    <w:rsid w:val="00E502C4"/>
    <w:rsid w:val="00E55ABC"/>
    <w:rsid w:val="00E56168"/>
    <w:rsid w:val="00E57B74"/>
    <w:rsid w:val="00E57FEF"/>
    <w:rsid w:val="00E642B3"/>
    <w:rsid w:val="00E671A1"/>
    <w:rsid w:val="00E70C18"/>
    <w:rsid w:val="00E8629F"/>
    <w:rsid w:val="00E90B54"/>
    <w:rsid w:val="00E96BC6"/>
    <w:rsid w:val="00E97AA9"/>
    <w:rsid w:val="00EA09B1"/>
    <w:rsid w:val="00EA0B7F"/>
    <w:rsid w:val="00EA3C24"/>
    <w:rsid w:val="00EA3D76"/>
    <w:rsid w:val="00EB0292"/>
    <w:rsid w:val="00EC0715"/>
    <w:rsid w:val="00EC6A1C"/>
    <w:rsid w:val="00ED5F47"/>
    <w:rsid w:val="00ED7922"/>
    <w:rsid w:val="00EE01EA"/>
    <w:rsid w:val="00EE066A"/>
    <w:rsid w:val="00EE2605"/>
    <w:rsid w:val="00EE3A95"/>
    <w:rsid w:val="00EE5692"/>
    <w:rsid w:val="00EE6221"/>
    <w:rsid w:val="00EE7690"/>
    <w:rsid w:val="00EF011F"/>
    <w:rsid w:val="00EF325F"/>
    <w:rsid w:val="00EF32A7"/>
    <w:rsid w:val="00EF5D8B"/>
    <w:rsid w:val="00EF6BCD"/>
    <w:rsid w:val="00F01416"/>
    <w:rsid w:val="00F030CA"/>
    <w:rsid w:val="00F0557F"/>
    <w:rsid w:val="00F05DFF"/>
    <w:rsid w:val="00F072D8"/>
    <w:rsid w:val="00F10B79"/>
    <w:rsid w:val="00F10D89"/>
    <w:rsid w:val="00F12D23"/>
    <w:rsid w:val="00F15074"/>
    <w:rsid w:val="00F15855"/>
    <w:rsid w:val="00F1709D"/>
    <w:rsid w:val="00F1745D"/>
    <w:rsid w:val="00F23155"/>
    <w:rsid w:val="00F26554"/>
    <w:rsid w:val="00F304D6"/>
    <w:rsid w:val="00F30653"/>
    <w:rsid w:val="00F33738"/>
    <w:rsid w:val="00F3413D"/>
    <w:rsid w:val="00F37710"/>
    <w:rsid w:val="00F63B69"/>
    <w:rsid w:val="00F7184A"/>
    <w:rsid w:val="00F77EB0"/>
    <w:rsid w:val="00F81AC1"/>
    <w:rsid w:val="00F83415"/>
    <w:rsid w:val="00F91F8F"/>
    <w:rsid w:val="00FA0215"/>
    <w:rsid w:val="00FA04B9"/>
    <w:rsid w:val="00FA35B4"/>
    <w:rsid w:val="00FB2CFC"/>
    <w:rsid w:val="00FB560E"/>
    <w:rsid w:val="00FB69E7"/>
    <w:rsid w:val="00FB725E"/>
    <w:rsid w:val="00FC051F"/>
    <w:rsid w:val="00FC3530"/>
    <w:rsid w:val="00FC5F9D"/>
    <w:rsid w:val="00FD16E0"/>
    <w:rsid w:val="00FD182B"/>
    <w:rsid w:val="00FD446A"/>
    <w:rsid w:val="00FD7A87"/>
    <w:rsid w:val="00FE1522"/>
    <w:rsid w:val="00FE6645"/>
    <w:rsid w:val="00FF04B3"/>
    <w:rsid w:val="00FF3F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o:shapelayout v:ext="edit">
      <o:idmap v:ext="edit" data="1"/>
    </o:shapelayout>
  </w:shapeDefaults>
  <w:decimalSymbol w:val="."/>
  <w:listSeparator w:val=","/>
  <w14:docId w14:val="35952386"/>
  <w15:chartTrackingRefBased/>
  <w15:docId w15:val="{DBEAC9A4-09CA-496C-BD30-A11AFEFDF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rPr>
      <w:lang w:eastAsia="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rsid w:val="00064500"/>
    <w:rPr>
      <w:rFonts w:ascii="Arial" w:hAnsi="Arial"/>
      <w:sz w:val="18"/>
      <w:lang w:val="en-G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6B1C2F"/>
    <w:pPr>
      <w:spacing w:after="0"/>
    </w:pPr>
    <w:rPr>
      <w:rFonts w:ascii="Segoe UI" w:hAnsi="Segoe UI"/>
      <w:sz w:val="18"/>
      <w:szCs w:val="18"/>
      <w:lang w:eastAsia="x-none"/>
    </w:rPr>
  </w:style>
  <w:style w:type="character" w:customStyle="1" w:styleId="BalloonTextChar">
    <w:name w:val="Balloon Text Char"/>
    <w:link w:val="BalloonText"/>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rsid w:val="006B1C2F"/>
    <w:rPr>
      <w:rFonts w:ascii="Arial" w:hAnsi="Arial"/>
      <w:b/>
      <w:sz w:val="18"/>
      <w:lang w:val="en-GB"/>
    </w:rPr>
  </w:style>
  <w:style w:type="character" w:customStyle="1" w:styleId="TACChar">
    <w:name w:val="TAC Char"/>
    <w:link w:val="TAC"/>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locked/>
    <w:rsid w:val="00064500"/>
    <w:rPr>
      <w:rFonts w:ascii="Arial" w:hAnsi="Arial"/>
      <w:b/>
      <w:lang w:val="en-GB"/>
    </w:rPr>
  </w:style>
  <w:style w:type="character" w:customStyle="1" w:styleId="B1Char1">
    <w:name w:val="B1 Char1"/>
    <w:rsid w:val="00AE116C"/>
    <w:rPr>
      <w:rFonts w:eastAsia="Times New Roman"/>
    </w:rPr>
  </w:style>
  <w:style w:type="paragraph" w:styleId="ListParagraph">
    <w:name w:val="List Paragraph"/>
    <w:basedOn w:val="Normal"/>
    <w:link w:val="ListParagraphChar"/>
    <w:uiPriority w:val="1"/>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locked/>
    <w:rsid w:val="00AE116C"/>
    <w:rPr>
      <w:rFonts w:ascii="Arial" w:eastAsia="Times New Roman" w:hAnsi="Arial"/>
      <w:sz w:val="18"/>
      <w:lang w:val="en-GB" w:eastAsia="en-GB"/>
    </w:rPr>
  </w:style>
  <w:style w:type="paragraph" w:styleId="CommentSubject">
    <w:name w:val="annotation subject"/>
    <w:basedOn w:val="CommentText"/>
    <w:next w:val="CommentText"/>
    <w:link w:val="CommentSubjectChar"/>
    <w:rsid w:val="00A515A6"/>
    <w:rPr>
      <w:b/>
      <w:bCs/>
    </w:rPr>
  </w:style>
  <w:style w:type="character" w:customStyle="1" w:styleId="CommentTextChar">
    <w:name w:val="Comment Text Char"/>
    <w:link w:val="CommentText"/>
    <w:semiHidden/>
    <w:rsid w:val="00A515A6"/>
    <w:rPr>
      <w:lang w:val="en-GB"/>
    </w:rPr>
  </w:style>
  <w:style w:type="character" w:customStyle="1" w:styleId="CommentSubjectChar">
    <w:name w:val="Comment Subject Char"/>
    <w:link w:val="CommentSubject"/>
    <w:rsid w:val="00A515A6"/>
    <w:rPr>
      <w:b/>
      <w:bCs/>
      <w:lang w:val="en-GB"/>
    </w:rPr>
  </w:style>
  <w:style w:type="character" w:customStyle="1" w:styleId="EQChar">
    <w:name w:val="EQ Char"/>
    <w:link w:val="EQ"/>
    <w:rsid w:val="009D7F67"/>
    <w:rPr>
      <w:noProof/>
      <w:lang w:eastAsia="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EF011F"/>
    <w:rPr>
      <w:b/>
      <w:lang w:val="en-GB" w:eastAsia="en-US"/>
    </w:rPr>
  </w:style>
  <w:style w:type="character" w:styleId="UnresolvedMention">
    <w:name w:val="Unresolved Mention"/>
    <w:uiPriority w:val="99"/>
    <w:semiHidden/>
    <w:unhideWhenUsed/>
    <w:rsid w:val="00F63B69"/>
    <w:rPr>
      <w:color w:val="808080"/>
      <w:shd w:val="clear" w:color="auto" w:fill="E6E6E6"/>
    </w:rPr>
  </w:style>
  <w:style w:type="paragraph" w:customStyle="1" w:styleId="a">
    <w:name w:val="参考文献"/>
    <w:basedOn w:val="Normal"/>
    <w:qFormat/>
    <w:rsid w:val="00F63B69"/>
    <w:pPr>
      <w:keepLines/>
      <w:numPr>
        <w:numId w:val="18"/>
      </w:numPr>
      <w:spacing w:after="0"/>
    </w:pPr>
    <w:rPr>
      <w:rFonts w:eastAsia="MS Mincho"/>
    </w:rPr>
  </w:style>
  <w:style w:type="paragraph" w:styleId="Revision">
    <w:name w:val="Revision"/>
    <w:hidden/>
    <w:uiPriority w:val="99"/>
    <w:semiHidden/>
    <w:rsid w:val="006F5C22"/>
    <w:rPr>
      <w:lang w:val="en-GB"/>
    </w:rPr>
  </w:style>
  <w:style w:type="table" w:styleId="TableGrid">
    <w:name w:val="Table Grid"/>
    <w:basedOn w:val="TableNormal"/>
    <w:rsid w:val="007A4F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84D33"/>
    <w:pPr>
      <w:autoSpaceDE w:val="0"/>
      <w:autoSpaceDN w:val="0"/>
      <w:adjustRightInd w:val="0"/>
    </w:pPr>
    <w:rPr>
      <w:rFonts w:ascii="Arial" w:hAnsi="Arial" w:cs="Arial"/>
      <w:color w:val="000000"/>
      <w:sz w:val="24"/>
      <w:szCs w:val="24"/>
    </w:rPr>
  </w:style>
  <w:style w:type="character" w:customStyle="1" w:styleId="ListParagraphChar">
    <w:name w:val="List Paragraph Char"/>
    <w:basedOn w:val="DefaultParagraphFont"/>
    <w:link w:val="ListParagraph"/>
    <w:uiPriority w:val="1"/>
    <w:rsid w:val="00A65414"/>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0615888">
      <w:bodyDiv w:val="1"/>
      <w:marLeft w:val="0"/>
      <w:marRight w:val="0"/>
      <w:marTop w:val="0"/>
      <w:marBottom w:val="0"/>
      <w:divBdr>
        <w:top w:val="none" w:sz="0" w:space="0" w:color="auto"/>
        <w:left w:val="none" w:sz="0" w:space="0" w:color="auto"/>
        <w:bottom w:val="none" w:sz="0" w:space="0" w:color="auto"/>
        <w:right w:val="none" w:sz="0" w:space="0" w:color="auto"/>
      </w:divBdr>
    </w:div>
    <w:div w:id="106360035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43234212">
      <w:bodyDiv w:val="1"/>
      <w:marLeft w:val="0"/>
      <w:marRight w:val="0"/>
      <w:marTop w:val="0"/>
      <w:marBottom w:val="0"/>
      <w:divBdr>
        <w:top w:val="none" w:sz="0" w:space="0" w:color="auto"/>
        <w:left w:val="none" w:sz="0" w:space="0" w:color="auto"/>
        <w:bottom w:val="none" w:sz="0" w:space="0" w:color="auto"/>
        <w:right w:val="none" w:sz="0" w:space="0" w:color="auto"/>
      </w:divBdr>
    </w:div>
    <w:div w:id="1198159751">
      <w:bodyDiv w:val="1"/>
      <w:marLeft w:val="0"/>
      <w:marRight w:val="0"/>
      <w:marTop w:val="0"/>
      <w:marBottom w:val="0"/>
      <w:divBdr>
        <w:top w:val="none" w:sz="0" w:space="0" w:color="auto"/>
        <w:left w:val="none" w:sz="0" w:space="0" w:color="auto"/>
        <w:bottom w:val="none" w:sz="0" w:space="0" w:color="auto"/>
        <w:right w:val="none" w:sz="0" w:space="0" w:color="auto"/>
      </w:divBdr>
    </w:div>
    <w:div w:id="1304236312">
      <w:bodyDiv w:val="1"/>
      <w:marLeft w:val="0"/>
      <w:marRight w:val="0"/>
      <w:marTop w:val="0"/>
      <w:marBottom w:val="0"/>
      <w:divBdr>
        <w:top w:val="none" w:sz="0" w:space="0" w:color="auto"/>
        <w:left w:val="none" w:sz="0" w:space="0" w:color="auto"/>
        <w:bottom w:val="none" w:sz="0" w:space="0" w:color="auto"/>
        <w:right w:val="none" w:sz="0" w:space="0" w:color="auto"/>
      </w:divBdr>
    </w:div>
    <w:div w:id="1415392236">
      <w:bodyDiv w:val="1"/>
      <w:marLeft w:val="0"/>
      <w:marRight w:val="0"/>
      <w:marTop w:val="0"/>
      <w:marBottom w:val="0"/>
      <w:divBdr>
        <w:top w:val="none" w:sz="0" w:space="0" w:color="auto"/>
        <w:left w:val="none" w:sz="0" w:space="0" w:color="auto"/>
        <w:bottom w:val="none" w:sz="0" w:space="0" w:color="auto"/>
        <w:right w:val="none" w:sz="0" w:space="0" w:color="auto"/>
      </w:divBdr>
    </w:div>
    <w:div w:id="1512600437">
      <w:bodyDiv w:val="1"/>
      <w:marLeft w:val="0"/>
      <w:marRight w:val="0"/>
      <w:marTop w:val="0"/>
      <w:marBottom w:val="0"/>
      <w:divBdr>
        <w:top w:val="none" w:sz="0" w:space="0" w:color="auto"/>
        <w:left w:val="none" w:sz="0" w:space="0" w:color="auto"/>
        <w:bottom w:val="none" w:sz="0" w:space="0" w:color="auto"/>
        <w:right w:val="none" w:sz="0" w:space="0" w:color="auto"/>
      </w:divBdr>
    </w:div>
    <w:div w:id="1611086966">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66EB68-6999-44B3-BF9E-B7AD702F9B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6D48CBB-0A87-4681-9AD9-0EB632BB7422}">
  <ds:schemaRefs>
    <ds:schemaRef ds:uri="http://schemas.microsoft.com/sharepoint/v3/contenttype/forms"/>
  </ds:schemaRefs>
</ds:datastoreItem>
</file>

<file path=customXml/itemProps3.xml><?xml version="1.0" encoding="utf-8"?>
<ds:datastoreItem xmlns:ds="http://schemas.openxmlformats.org/officeDocument/2006/customXml" ds:itemID="{6E0B8DE3-FD5E-4CC7-B669-D1F10BD3FE2A}">
  <ds:schemaRefs>
    <ds:schemaRef ds:uri="878f5c59-aec9-459c-acf8-8cf941473193"/>
    <ds:schemaRef ds:uri="http://schemas.microsoft.com/office/infopath/2007/PartnerControls"/>
    <ds:schemaRef ds:uri="http://purl.org/dc/elements/1.1/"/>
    <ds:schemaRef ds:uri="http://schemas.openxmlformats.org/package/2006/metadata/core-properties"/>
    <ds:schemaRef ds:uri="http://schemas.microsoft.com/office/2006/metadata/properties"/>
    <ds:schemaRef ds:uri="http://schemas.microsoft.com/office/2006/documentManagement/types"/>
    <ds:schemaRef ds:uri="http://www.w3.org/XML/1998/namespace"/>
    <ds:schemaRef ds:uri="http://purl.org/dc/terms/"/>
    <ds:schemaRef ds:uri="bdd78157-346c-4767-bfdd-352789a5c5f1"/>
    <ds:schemaRef ds:uri="http://purl.org/dc/dcmitype/"/>
  </ds:schemaRefs>
</ds:datastoreItem>
</file>

<file path=customXml/itemProps4.xml><?xml version="1.0" encoding="utf-8"?>
<ds:datastoreItem xmlns:ds="http://schemas.openxmlformats.org/officeDocument/2006/customXml" ds:itemID="{04CC9FC1-D66D-4A07-9296-6E562849EA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5</Pages>
  <Words>1695</Words>
  <Characters>9588</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Thorsten Hertel (KEYS)</dc:creator>
  <cp:keywords/>
  <dc:description/>
  <cp:lastModifiedBy>Thorsten Hertel (KEYS)</cp:lastModifiedBy>
  <cp:revision>13</cp:revision>
  <dcterms:created xsi:type="dcterms:W3CDTF">2020-10-14T21:06:00Z</dcterms:created>
  <dcterms:modified xsi:type="dcterms:W3CDTF">2020-10-31T00:27:00Z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ies>
</file>